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512F1C">
      <w:pPr>
        <w:rPr>
          <w:rFonts w:hint="eastAsia"/>
        </w:rPr>
      </w:pPr>
    </w:p>
    <w:p w14:paraId="3F5E2224">
      <w:pPr>
        <w:pStyle w:val="2"/>
        <w:jc w:val="center"/>
        <w:rPr>
          <w:lang w:val="en-US"/>
        </w:rPr>
      </w:pPr>
      <w:r>
        <w:rPr>
          <w:lang w:val="en-US"/>
        </w:rPr>
        <w:t>鄂州市节地生态安葬</w:t>
      </w:r>
      <w:r>
        <w:rPr>
          <w:rFonts w:hint="eastAsia"/>
          <w:lang w:val="en-US"/>
        </w:rPr>
        <w:t>减免和</w:t>
      </w:r>
      <w:r>
        <w:rPr>
          <w:lang w:val="en-US"/>
        </w:rPr>
        <w:t>奖补实施办法</w:t>
      </w:r>
    </w:p>
    <w:p w14:paraId="25094CAF">
      <w:pPr>
        <w:ind w:left="0" w:leftChars="0" w:firstLine="0" w:firstLineChars="0"/>
        <w:jc w:val="center"/>
        <w:rPr>
          <w:rFonts w:hint="eastAsia" w:eastAsia="方正仿宋_GBK"/>
          <w:lang w:val="en-US" w:eastAsia="zh-CN"/>
        </w:rPr>
      </w:pPr>
      <w:r>
        <w:rPr>
          <w:rFonts w:hint="eastAsia"/>
          <w:lang w:val="en-US" w:eastAsia="zh-CN"/>
        </w:rPr>
        <w:t>（征求意见稿）</w:t>
      </w:r>
    </w:p>
    <w:p w14:paraId="2B3257B2"/>
    <w:p w14:paraId="6617E21A">
      <w:r>
        <w:t>为进一步深化殡葬改革，推行节地生态安葬</w:t>
      </w:r>
      <w:r>
        <w:rPr>
          <w:rFonts w:hint="eastAsia"/>
        </w:rPr>
        <w:t>，</w:t>
      </w:r>
      <w:r>
        <w:t>保护生态环境，根据民政部《关于全面推行惠民殡葬政策的指导意见》（民发</w:t>
      </w:r>
      <w:r>
        <w:rPr>
          <w:rFonts w:hint="eastAsia" w:ascii="仿宋" w:hAnsi="仿宋" w:eastAsia="仿宋" w:cs="仿宋"/>
        </w:rPr>
        <w:t>〔</w:t>
      </w:r>
      <w:r>
        <w:t>2012</w:t>
      </w:r>
      <w:r>
        <w:rPr>
          <w:rFonts w:hint="eastAsia" w:ascii="仿宋" w:hAnsi="仿宋" w:eastAsia="仿宋" w:cs="仿宋"/>
        </w:rPr>
        <w:t>〕</w:t>
      </w:r>
      <w:r>
        <w:t>211号）、湖北省民政厅等</w:t>
      </w:r>
      <w:r>
        <w:rPr>
          <w:rFonts w:hint="eastAsia"/>
          <w:lang w:eastAsia="zh-CN"/>
        </w:rPr>
        <w:t>九</w:t>
      </w:r>
      <w:r>
        <w:t>部门《关于推行节地生态安葬的实施意见》（鄂民政发</w:t>
      </w:r>
      <w:r>
        <w:rPr>
          <w:rFonts w:hint="eastAsia"/>
        </w:rPr>
        <w:t>〔</w:t>
      </w:r>
      <w:r>
        <w:t>2016</w:t>
      </w:r>
      <w:r>
        <w:rPr>
          <w:rFonts w:hint="eastAsia"/>
        </w:rPr>
        <w:t>〕</w:t>
      </w:r>
      <w:r>
        <w:t>16号），结合我市实际，制定本办法</w:t>
      </w:r>
      <w:r>
        <w:rPr>
          <w:rFonts w:hint="eastAsia"/>
        </w:rPr>
        <w:t>。</w:t>
      </w:r>
    </w:p>
    <w:p w14:paraId="1A7AAD09">
      <w:pPr>
        <w:pStyle w:val="3"/>
        <w:ind w:firstLine="640"/>
      </w:pPr>
      <w:r>
        <w:rPr>
          <w:rFonts w:hint="eastAsia"/>
        </w:rPr>
        <w:t>一</w:t>
      </w:r>
      <w:r>
        <w:t>、节地生态安葬类型</w:t>
      </w:r>
    </w:p>
    <w:p w14:paraId="68E1906A">
      <w:r>
        <w:t>本办法所指的节地生态安葬，是指遗体火化后，在辖区内</w:t>
      </w:r>
      <w:r>
        <w:rPr>
          <w:rFonts w:hint="eastAsia"/>
          <w:lang w:eastAsia="zh-CN"/>
        </w:rPr>
        <w:t>城乡公益性公墓（含骨灰堂）和经营性</w:t>
      </w:r>
      <w:r>
        <w:t>公墓（含骨灰堂）</w:t>
      </w:r>
      <w:r>
        <w:rPr>
          <w:rFonts w:hint="eastAsia"/>
          <w:lang w:eastAsia="zh-CN"/>
        </w:rPr>
        <w:t>内</w:t>
      </w:r>
      <w:r>
        <w:t>采取树葬、花坛葬、草坪葬、壁葬</w:t>
      </w:r>
      <w:r>
        <w:rPr>
          <w:rFonts w:hint="eastAsia"/>
          <w:lang w:eastAsia="zh-CN"/>
        </w:rPr>
        <w:t>、骨灰撒散</w:t>
      </w:r>
      <w:r>
        <w:t>等方式处理骨灰的安葬方法。</w:t>
      </w:r>
    </w:p>
    <w:p w14:paraId="33986D8A">
      <w:r>
        <w:rPr>
          <w:rStyle w:val="10"/>
        </w:rPr>
        <w:t>（一）树葬、花坛葬、草坪葬</w:t>
      </w:r>
      <w:r>
        <w:rPr>
          <w:rStyle w:val="10"/>
          <w:rFonts w:hint="eastAsia" w:eastAsia="方正楷体_GBK"/>
          <w:lang w:eastAsia="zh-CN"/>
        </w:rPr>
        <w:t>。</w:t>
      </w:r>
      <w:r>
        <w:t>指将逝者骨灰装殓后，深埋在户籍所在地城乡公益性公墓或具有合法合规手续的经营性公墓区域内，地面植树、栽花或种草的安葬方法。树葬、花坛葬、草坪葬</w:t>
      </w:r>
      <w:r>
        <w:rPr>
          <w:rFonts w:hint="eastAsia"/>
          <w:lang w:eastAsia="zh-CN"/>
        </w:rPr>
        <w:t>，使用可降解容器或直接将骨灰藏纳土中，不设硬质墓穴或墓碑</w:t>
      </w:r>
      <w:r>
        <w:t>，</w:t>
      </w:r>
      <w:r>
        <w:rPr>
          <w:rFonts w:hint="eastAsia"/>
        </w:rPr>
        <w:t>公墓机构规划并建设有指定石碑的，逝者</w:t>
      </w:r>
      <w:r>
        <w:t>亲属可在指定石碑上镌刻逝者姓名作为纪念以便祭扫，此葬区可以循环利用。</w:t>
      </w:r>
    </w:p>
    <w:p w14:paraId="762F90AC">
      <w:pPr>
        <w:rPr>
          <w:rFonts w:hint="eastAsia" w:cs="Times New Roman"/>
          <w:kern w:val="2"/>
          <w:sz w:val="32"/>
          <w:szCs w:val="32"/>
          <w:lang w:val="en-US" w:eastAsia="zh-CN" w:bidi="ar-SA"/>
        </w:rPr>
      </w:pPr>
      <w:r>
        <w:rPr>
          <w:rStyle w:val="10"/>
        </w:rPr>
        <w:t>（二）壁葬存放</w:t>
      </w:r>
      <w:r>
        <w:rPr>
          <w:rStyle w:val="10"/>
          <w:rFonts w:hint="eastAsia" w:eastAsia="方正楷体_GBK"/>
          <w:lang w:eastAsia="zh-CN"/>
        </w:rPr>
        <w:t>。</w:t>
      </w:r>
      <w:r>
        <w:t>指</w:t>
      </w:r>
      <w:r>
        <w:rPr>
          <w:rFonts w:hint="eastAsia"/>
        </w:rPr>
        <w:t>在</w:t>
      </w:r>
      <w:r>
        <w:t>户籍所在地城乡公益性公墓或具有合法合规手续的经营性公墓</w:t>
      </w:r>
      <w:r>
        <w:rPr>
          <w:rFonts w:hint="eastAsia"/>
          <w:lang w:val="en-US" w:eastAsia="zh-CN"/>
        </w:rPr>
        <w:t>修建的生态环保壁葬设施内安葬骨灰。</w:t>
      </w:r>
      <w:r>
        <w:rPr>
          <w:rFonts w:hint="eastAsia" w:cs="Times New Roman"/>
          <w:kern w:val="2"/>
          <w:sz w:val="32"/>
          <w:szCs w:val="32"/>
          <w:lang w:val="en-US" w:eastAsia="zh-CN" w:bidi="ar-SA"/>
        </w:rPr>
        <w:t xml:space="preserve"> </w:t>
      </w:r>
    </w:p>
    <w:p w14:paraId="10F14D01">
      <w:pPr>
        <w:rPr>
          <w:rFonts w:hint="default" w:ascii="方正仿宋_GBK" w:hAnsi="方正仿宋_GBK" w:eastAsia="方正仿宋_GBK" w:cs="方正仿宋_GBK"/>
          <w:kern w:val="2"/>
          <w:sz w:val="32"/>
          <w:szCs w:val="32"/>
          <w:lang w:val="en-US" w:eastAsia="zh-CN" w:bidi="ar-SA"/>
        </w:rPr>
      </w:pPr>
      <w:r>
        <w:rPr>
          <w:rFonts w:hint="eastAsia" w:cs="Times New Roman"/>
          <w:kern w:val="2"/>
          <w:sz w:val="32"/>
          <w:szCs w:val="32"/>
          <w:lang w:val="en-US" w:eastAsia="zh-CN" w:bidi="ar-SA"/>
        </w:rPr>
        <w:t xml:space="preserve"> </w:t>
      </w:r>
      <w:r>
        <w:rPr>
          <w:rStyle w:val="10"/>
        </w:rPr>
        <w:t>（</w:t>
      </w:r>
      <w:r>
        <w:rPr>
          <w:rStyle w:val="10"/>
          <w:rFonts w:hint="eastAsia" w:eastAsia="方正楷体_GBK"/>
          <w:lang w:eastAsia="zh-CN"/>
        </w:rPr>
        <w:t>三</w:t>
      </w:r>
      <w:r>
        <w:rPr>
          <w:rStyle w:val="10"/>
        </w:rPr>
        <w:t>）</w:t>
      </w:r>
      <w:r>
        <w:rPr>
          <w:rStyle w:val="10"/>
          <w:rFonts w:hint="eastAsia" w:eastAsia="方正楷体_GBK"/>
          <w:lang w:eastAsia="zh-CN"/>
        </w:rPr>
        <w:t>骨灰撒散。</w:t>
      </w:r>
      <w:r>
        <w:rPr>
          <w:rStyle w:val="10"/>
          <w:rFonts w:hint="eastAsia" w:ascii="方正仿宋_GBK" w:hAnsi="方正仿宋_GBK" w:eastAsia="方正仿宋_GBK" w:cs="方正仿宋_GBK"/>
          <w:lang w:eastAsia="zh-CN"/>
        </w:rPr>
        <w:t>是一种将逝者骨灰分散于自然环境中的安葬方式。在专门的骨灰撒散服务机构组织下，将骨灰撒入大海、河流、湖泊、山川等特定场所，让逝者与自然融为一体，回归自然</w:t>
      </w:r>
      <w:r>
        <w:rPr>
          <w:rStyle w:val="10"/>
          <w:rFonts w:hint="eastAsia" w:ascii="方正仿宋_GBK" w:hAnsi="方正仿宋_GBK" w:cs="方正仿宋_GBK"/>
          <w:lang w:eastAsia="zh-CN"/>
        </w:rPr>
        <w:t>。</w:t>
      </w:r>
    </w:p>
    <w:p w14:paraId="2B9F3197">
      <w:pPr>
        <w:pStyle w:val="3"/>
        <w:ind w:firstLine="640"/>
      </w:pPr>
      <w:r>
        <w:rPr>
          <w:rFonts w:hint="eastAsia"/>
        </w:rPr>
        <w:t>二</w:t>
      </w:r>
      <w:r>
        <w:t>、</w:t>
      </w:r>
      <w:r>
        <w:rPr>
          <w:rFonts w:hint="eastAsia"/>
          <w:lang w:eastAsia="zh-CN"/>
        </w:rPr>
        <w:t>减免和</w:t>
      </w:r>
      <w:r>
        <w:rPr>
          <w:rFonts w:hint="eastAsia"/>
        </w:rPr>
        <w:t>奖补</w:t>
      </w:r>
      <w:r>
        <w:t>范围</w:t>
      </w:r>
    </w:p>
    <w:p w14:paraId="0C4E127D">
      <w:r>
        <w:rPr>
          <w:rFonts w:hint="eastAsia"/>
        </w:rPr>
        <w:t>本市户籍人员在本辖区内</w:t>
      </w:r>
      <w:r>
        <w:t>经营性公墓（含骨灰堂）</w:t>
      </w:r>
      <w:r>
        <w:rPr>
          <w:rFonts w:hint="eastAsia"/>
          <w:lang w:eastAsia="zh-CN"/>
        </w:rPr>
        <w:t>和</w:t>
      </w:r>
      <w:r>
        <w:t>城乡公益性公墓（含骨灰堂）采取节地生态安葬</w:t>
      </w:r>
      <w:r>
        <w:rPr>
          <w:rFonts w:hint="eastAsia"/>
        </w:rPr>
        <w:t>的逝者</w:t>
      </w:r>
      <w:r>
        <w:t>，可享受减免和奖补政策。</w:t>
      </w:r>
    </w:p>
    <w:p w14:paraId="75880C32">
      <w:pPr>
        <w:pStyle w:val="3"/>
        <w:ind w:firstLine="640"/>
      </w:pPr>
      <w:r>
        <w:t>三、</w:t>
      </w:r>
      <w:r>
        <w:rPr>
          <w:rFonts w:hint="eastAsia"/>
          <w:lang w:eastAsia="zh-CN"/>
        </w:rPr>
        <w:t>减免和</w:t>
      </w:r>
      <w:r>
        <w:t>奖补项目及标准</w:t>
      </w:r>
    </w:p>
    <w:p w14:paraId="22549E1D">
      <w:r>
        <w:t>（一）对采取树葬、花坛葬、草坪葬的</w:t>
      </w:r>
      <w:r>
        <w:rPr>
          <w:rFonts w:hint="eastAsia"/>
          <w:lang w:eastAsia="zh-CN"/>
        </w:rPr>
        <w:t>逝者</w:t>
      </w:r>
      <w:r>
        <w:t>，除免除安葬费（含刻字费）外，另给予每例</w:t>
      </w:r>
      <w:r>
        <w:rPr>
          <w:rFonts w:hint="eastAsia"/>
          <w:lang w:val="en-US" w:eastAsia="zh-CN"/>
        </w:rPr>
        <w:t>20</w:t>
      </w:r>
      <w:r>
        <w:t>00元奖励。</w:t>
      </w:r>
    </w:p>
    <w:p w14:paraId="7CD7E4B9">
      <w:r>
        <w:t>（二）对采取壁葬存放的</w:t>
      </w:r>
      <w:r>
        <w:rPr>
          <w:rFonts w:hint="eastAsia"/>
          <w:lang w:eastAsia="zh-CN"/>
        </w:rPr>
        <w:t>逝者</w:t>
      </w:r>
      <w:r>
        <w:t>，</w:t>
      </w:r>
      <w:r>
        <w:rPr>
          <w:rFonts w:hint="eastAsia"/>
          <w:lang w:eastAsia="zh-CN"/>
        </w:rPr>
        <w:t>除</w:t>
      </w:r>
      <w:r>
        <w:t>免除</w:t>
      </w:r>
      <w:r>
        <w:rPr>
          <w:rFonts w:hint="eastAsia"/>
          <w:lang w:eastAsia="zh-CN"/>
        </w:rPr>
        <w:t>安葬费（含刻字费）外，另给予每例</w:t>
      </w:r>
      <w:r>
        <w:rPr>
          <w:rFonts w:hint="eastAsia"/>
          <w:lang w:val="en-US" w:eastAsia="zh-CN"/>
        </w:rPr>
        <w:t>2000元的奖励；其他应收费用按有关政策执行</w:t>
      </w:r>
      <w:r>
        <w:t>。</w:t>
      </w:r>
    </w:p>
    <w:p w14:paraId="266F7DD9">
      <w:pPr>
        <w:rPr>
          <w:rFonts w:hint="default"/>
          <w:lang w:val="en-US" w:eastAsia="zh-CN"/>
        </w:rPr>
      </w:pPr>
      <w:r>
        <w:rPr>
          <w:rFonts w:hint="eastAsia"/>
          <w:lang w:eastAsia="zh-CN"/>
        </w:rPr>
        <w:t>（三）在专门的骨灰撒散服务机构组织下，在特定场所进行骨灰撒散的逝者，给予每例</w:t>
      </w:r>
      <w:r>
        <w:rPr>
          <w:rFonts w:hint="eastAsia"/>
          <w:lang w:val="en-US" w:eastAsia="zh-CN"/>
        </w:rPr>
        <w:t>2000元奖励。</w:t>
      </w:r>
    </w:p>
    <w:p w14:paraId="2C5B73CE">
      <w:pPr>
        <w:rPr>
          <w:rFonts w:hint="eastAsia" w:eastAsia="方正仿宋_GBK"/>
          <w:lang w:eastAsia="zh-CN"/>
        </w:rPr>
      </w:pPr>
      <w:r>
        <w:rPr>
          <w:rFonts w:hint="eastAsia"/>
          <w:lang w:eastAsia="zh-CN"/>
        </w:rPr>
        <w:t>（四）</w:t>
      </w:r>
      <w:r>
        <w:t>特殊</w:t>
      </w:r>
      <w:r>
        <w:rPr>
          <w:rFonts w:hint="eastAsia"/>
          <w:lang w:eastAsia="zh-CN"/>
        </w:rPr>
        <w:t>遗体</w:t>
      </w:r>
      <w:r>
        <w:t>由公安部门或人民法院委托办理生态安葬，不享受奖补政策</w:t>
      </w:r>
      <w:r>
        <w:rPr>
          <w:rFonts w:hint="eastAsia"/>
          <w:lang w:eastAsia="zh-CN"/>
        </w:rPr>
        <w:t>，包括以下两类：</w:t>
      </w:r>
    </w:p>
    <w:p w14:paraId="5052F85A">
      <w:pPr>
        <w:rPr>
          <w:rFonts w:hint="eastAsia"/>
          <w:lang w:eastAsia="zh-CN"/>
        </w:rPr>
      </w:pPr>
      <w:r>
        <w:rPr>
          <w:rFonts w:hint="eastAsia"/>
          <w:lang w:val="en-US" w:eastAsia="zh-CN"/>
        </w:rPr>
        <w:t xml:space="preserve">1. </w:t>
      </w:r>
      <w:r>
        <w:rPr>
          <w:rFonts w:hint="eastAsia"/>
          <w:lang w:eastAsia="zh-CN"/>
        </w:rPr>
        <w:t>死者姓名不详，身份不明的；</w:t>
      </w:r>
    </w:p>
    <w:p w14:paraId="68C66417">
      <w:pPr>
        <w:rPr>
          <w:rFonts w:hint="eastAsia"/>
          <w:lang w:eastAsia="zh-CN"/>
        </w:rPr>
      </w:pPr>
      <w:r>
        <w:rPr>
          <w:rFonts w:hint="eastAsia"/>
          <w:lang w:val="en-US" w:eastAsia="zh-CN"/>
        </w:rPr>
        <w:t xml:space="preserve">2. </w:t>
      </w:r>
      <w:r>
        <w:rPr>
          <w:rFonts w:hint="eastAsia"/>
          <w:lang w:eastAsia="zh-CN"/>
        </w:rPr>
        <w:t>死者姓名、身份清楚，但无法通知其家属、有关单位（组织）或者其家属、有关单位（组织）拒不配合办理相关手续的。</w:t>
      </w:r>
    </w:p>
    <w:p w14:paraId="1598411A">
      <w:pPr>
        <w:rPr>
          <w:rFonts w:hint="eastAsia"/>
          <w:lang w:eastAsia="zh-CN"/>
        </w:rPr>
      </w:pPr>
      <w:r>
        <w:rPr>
          <w:rFonts w:hint="eastAsia"/>
          <w:lang w:eastAsia="zh-CN"/>
        </w:rPr>
        <w:t>（五）在院供养人员去世后，无亲属且由福利机构委托办理生态安葬的逝者，不享受奖补政策。</w:t>
      </w:r>
    </w:p>
    <w:p w14:paraId="328905FC">
      <w:pPr>
        <w:rPr>
          <w:rFonts w:hint="eastAsia"/>
        </w:rPr>
      </w:pPr>
      <w:r>
        <w:rPr>
          <w:rFonts w:hint="eastAsia"/>
          <w:lang w:eastAsia="zh-CN"/>
        </w:rPr>
        <w:t>（六）</w:t>
      </w:r>
      <w:r>
        <w:rPr>
          <w:rFonts w:hint="eastAsia"/>
        </w:rPr>
        <w:t>在临时寄存点存放骨灰的逝者不享受奖补政策。</w:t>
      </w:r>
    </w:p>
    <w:p w14:paraId="3D83535A">
      <w:pPr>
        <w:rPr>
          <w:rFonts w:hint="eastAsia" w:eastAsia="方正仿宋_GBK"/>
          <w:lang w:eastAsia="zh-CN"/>
        </w:rPr>
      </w:pPr>
      <w:r>
        <w:rPr>
          <w:rFonts w:hint="eastAsia"/>
          <w:lang w:eastAsia="zh-CN"/>
        </w:rPr>
        <w:t>（七）在骨灰堂采取格位安葬的逝者不享受奖补政策。</w:t>
      </w:r>
    </w:p>
    <w:p w14:paraId="73554291">
      <w:pPr>
        <w:pStyle w:val="3"/>
        <w:ind w:firstLine="640"/>
      </w:pPr>
      <w:r>
        <w:t>四、办理程序</w:t>
      </w:r>
    </w:p>
    <w:p w14:paraId="57F775F0">
      <w:pPr>
        <w:pStyle w:val="4"/>
        <w:ind w:firstLine="640"/>
      </w:pPr>
      <w:r>
        <w:t>（一）申请</w:t>
      </w:r>
    </w:p>
    <w:p w14:paraId="5CFEC5EB">
      <w:r>
        <w:t>符合本办法规定的对象死亡后，经办人（一般应为逝者的直系亲属</w:t>
      </w:r>
      <w:r>
        <w:rPr>
          <w:rFonts w:hint="eastAsia"/>
        </w:rPr>
        <w:t>，下同</w:t>
      </w:r>
      <w:r>
        <w:t>）在办理遗体火化相关手续时提出</w:t>
      </w:r>
      <w:r>
        <w:rPr>
          <w:rFonts w:hint="eastAsia"/>
        </w:rPr>
        <w:t>申请（或在政务网上办理）</w:t>
      </w:r>
      <w:r>
        <w:t>，填写《鄂州市节地生态安葬减免和奖补申请表》</w:t>
      </w:r>
      <w:r>
        <w:rPr>
          <w:rFonts w:hint="eastAsia"/>
        </w:rPr>
        <w:t>（表中含被指定接收奖励资金</w:t>
      </w:r>
      <w:r>
        <w:rPr>
          <w:rFonts w:hint="eastAsia"/>
          <w:lang w:eastAsia="zh-CN"/>
        </w:rPr>
        <w:t>人员</w:t>
      </w:r>
      <w:r>
        <w:rPr>
          <w:rFonts w:hint="eastAsia"/>
        </w:rPr>
        <w:t>）</w:t>
      </w:r>
      <w:r>
        <w:t>并提交以下材料：</w:t>
      </w:r>
    </w:p>
    <w:p w14:paraId="47DC20E0">
      <w:pPr>
        <w:numPr>
          <w:ilvl w:val="0"/>
          <w:numId w:val="1"/>
        </w:numPr>
      </w:pPr>
      <w:r>
        <w:t>经办人有效身份证件原件和复印件一份</w:t>
      </w:r>
      <w:r>
        <w:rPr>
          <w:rFonts w:hint="eastAsia"/>
        </w:rPr>
        <w:t>；</w:t>
      </w:r>
    </w:p>
    <w:p w14:paraId="29D33E1C">
      <w:pPr>
        <w:numPr>
          <w:ilvl w:val="0"/>
          <w:numId w:val="1"/>
        </w:numPr>
        <w:ind w:left="0" w:leftChars="0" w:firstLine="640" w:firstLineChars="200"/>
      </w:pPr>
      <w:r>
        <w:rPr>
          <w:rFonts w:hint="eastAsia"/>
        </w:rPr>
        <w:t>被指定接收奖励资金</w:t>
      </w:r>
      <w:r>
        <w:rPr>
          <w:rFonts w:hint="eastAsia"/>
          <w:lang w:eastAsia="zh-CN"/>
        </w:rPr>
        <w:t>人员</w:t>
      </w:r>
      <w:r>
        <w:rPr>
          <w:rFonts w:hint="eastAsia"/>
        </w:rPr>
        <w:t>的</w:t>
      </w:r>
      <w:r>
        <w:t>有效身份证件原件和复印件一份</w:t>
      </w:r>
      <w:r>
        <w:rPr>
          <w:rFonts w:hint="eastAsia"/>
        </w:rPr>
        <w:t>，银行账号复印件一份；</w:t>
      </w:r>
      <w:r>
        <w:rPr>
          <w:rFonts w:hint="eastAsia"/>
          <w:lang w:eastAsia="zh-CN"/>
        </w:rPr>
        <w:t>（</w:t>
      </w:r>
      <w:r>
        <w:t>申请壁葬存放减免的</w:t>
      </w:r>
      <w:r>
        <w:rPr>
          <w:rFonts w:hint="eastAsia"/>
          <w:lang w:eastAsia="zh-CN"/>
        </w:rPr>
        <w:t>无须提供此项资料）</w:t>
      </w:r>
    </w:p>
    <w:p w14:paraId="15AC6A43">
      <w:pPr>
        <w:numPr>
          <w:ilvl w:val="0"/>
          <w:numId w:val="1"/>
        </w:numPr>
        <w:ind w:left="0" w:leftChars="0" w:firstLine="640" w:firstLineChars="200"/>
      </w:pPr>
      <w:r>
        <w:t>逝者身份证</w:t>
      </w:r>
      <w:r>
        <w:rPr>
          <w:rFonts w:hint="eastAsia"/>
          <w:lang w:eastAsia="zh-CN"/>
        </w:rPr>
        <w:t>或</w:t>
      </w:r>
      <w:r>
        <w:t>户口簿原件</w:t>
      </w:r>
      <w:r>
        <w:rPr>
          <w:rFonts w:hint="eastAsia"/>
        </w:rPr>
        <w:t>（</w:t>
      </w:r>
      <w:r>
        <w:t>逝者户口已注销的，须提供户籍所在地公安部门出具的户籍信息证明</w:t>
      </w:r>
      <w:r>
        <w:rPr>
          <w:rFonts w:hint="eastAsia"/>
        </w:rPr>
        <w:t>）</w:t>
      </w:r>
      <w:r>
        <w:t>和复印件一份</w:t>
      </w:r>
      <w:r>
        <w:rPr>
          <w:rFonts w:hint="eastAsia"/>
        </w:rPr>
        <w:t>；</w:t>
      </w:r>
    </w:p>
    <w:p w14:paraId="54821D41">
      <w:pPr>
        <w:numPr>
          <w:ilvl w:val="0"/>
          <w:numId w:val="1"/>
        </w:numPr>
        <w:ind w:left="0" w:leftChars="0" w:firstLine="640" w:firstLineChars="200"/>
      </w:pPr>
      <w:r>
        <w:t>殡仪馆出具的遗体火化证明原件和复印件一份</w:t>
      </w:r>
      <w:r>
        <w:rPr>
          <w:rFonts w:hint="eastAsia"/>
        </w:rPr>
        <w:t>；</w:t>
      </w:r>
    </w:p>
    <w:p w14:paraId="65AC43AF">
      <w:pPr>
        <w:numPr>
          <w:ilvl w:val="0"/>
          <w:numId w:val="0"/>
        </w:numPr>
        <w:ind w:firstLine="640" w:firstLineChars="200"/>
      </w:pPr>
      <w:r>
        <w:t>经办人应在《鄂州市节地生态葬法减免和奖补申请表》中签字确认所填资料信息的真实性，并承担相应责任。</w:t>
      </w:r>
    </w:p>
    <w:p w14:paraId="06667B95">
      <w:pPr>
        <w:pStyle w:val="4"/>
        <w:ind w:firstLine="640"/>
      </w:pPr>
      <w:r>
        <w:t>（二）受理</w:t>
      </w:r>
    </w:p>
    <w:p w14:paraId="2DCC3C64">
      <w:r>
        <w:rPr>
          <w:rFonts w:hint="eastAsia"/>
        </w:rPr>
        <w:t>公墓机构收到经办人提交的</w:t>
      </w:r>
      <w:r>
        <w:rPr>
          <w:rFonts w:hint="eastAsia"/>
          <w:lang w:eastAsia="zh-CN"/>
        </w:rPr>
        <w:t>申请材料后</w:t>
      </w:r>
      <w:r>
        <w:rPr>
          <w:rFonts w:hint="eastAsia"/>
        </w:rPr>
        <w:t>，</w:t>
      </w:r>
      <w:r>
        <w:rPr>
          <w:rFonts w:hint="eastAsia"/>
          <w:lang w:eastAsia="zh-CN"/>
        </w:rPr>
        <w:t>在</w:t>
      </w:r>
      <w:r>
        <w:rPr>
          <w:rFonts w:hint="eastAsia"/>
        </w:rPr>
        <w:t>审核无误</w:t>
      </w:r>
      <w:r>
        <w:rPr>
          <w:rFonts w:hint="eastAsia"/>
          <w:lang w:eastAsia="zh-CN"/>
        </w:rPr>
        <w:t>的基础上</w:t>
      </w:r>
      <w:r>
        <w:rPr>
          <w:rFonts w:hint="eastAsia"/>
        </w:rPr>
        <w:t>，办理节地生态安葬和奖补手续</w:t>
      </w:r>
      <w:r>
        <w:rPr>
          <w:rFonts w:hint="eastAsia"/>
          <w:lang w:eastAsia="zh-CN"/>
        </w:rPr>
        <w:t>，发放资金</w:t>
      </w:r>
      <w:r>
        <w:rPr>
          <w:rFonts w:hint="eastAsia"/>
        </w:rPr>
        <w:t>。</w:t>
      </w:r>
    </w:p>
    <w:p w14:paraId="64DF9D62">
      <w:pPr>
        <w:pStyle w:val="3"/>
        <w:ind w:firstLine="640"/>
      </w:pPr>
      <w:r>
        <w:t>五、经费</w:t>
      </w:r>
      <w:r>
        <w:rPr>
          <w:rFonts w:hint="eastAsia"/>
        </w:rPr>
        <w:t>保障</w:t>
      </w:r>
    </w:p>
    <w:p w14:paraId="2C2C7B25">
      <w:r>
        <w:rPr>
          <w:rFonts w:hint="eastAsia"/>
        </w:rPr>
        <w:t>（</w:t>
      </w:r>
      <w:r>
        <w:t>一</w:t>
      </w:r>
      <w:r>
        <w:rPr>
          <w:rFonts w:hint="eastAsia"/>
        </w:rPr>
        <w:t>）</w:t>
      </w:r>
      <w:r>
        <w:t>本办法规定范围内发生的树葬、花坛葬、草坪葬、壁葬存放</w:t>
      </w:r>
      <w:r>
        <w:rPr>
          <w:rFonts w:hint="eastAsia"/>
          <w:lang w:eastAsia="zh-CN"/>
        </w:rPr>
        <w:t>、骨灰撒散</w:t>
      </w:r>
      <w:r>
        <w:rPr>
          <w:rFonts w:hint="eastAsia"/>
        </w:rPr>
        <w:t>所涉及的</w:t>
      </w:r>
      <w:r>
        <w:t>奖补资金</w:t>
      </w:r>
      <w:bookmarkStart w:id="0" w:name="_GoBack"/>
      <w:bookmarkEnd w:id="0"/>
      <w:r>
        <w:rPr>
          <w:rFonts w:hint="eastAsia"/>
        </w:rPr>
        <w:t>，</w:t>
      </w:r>
      <w:r>
        <w:t>由财政部门安排，列入当地财政预算。</w:t>
      </w:r>
      <w:r>
        <w:rPr>
          <w:rFonts w:hint="eastAsia"/>
        </w:rPr>
        <w:t>公墓机构属市直管理的，由市殡葬服务中心核算经费，报市财政局审核，列入市级财政预算。各区公墓机构由区民政局核算经费，报区财政局审核，列入区级财政预算。</w:t>
      </w:r>
    </w:p>
    <w:p w14:paraId="645A873A">
      <w:r>
        <w:rPr>
          <w:rFonts w:hint="eastAsia"/>
        </w:rPr>
        <w:t>（</w:t>
      </w:r>
      <w:r>
        <w:t>二</w:t>
      </w:r>
      <w:r>
        <w:rPr>
          <w:rFonts w:hint="eastAsia"/>
        </w:rPr>
        <w:t>）奖补资金由公墓机构直接拨付到指定接收人的个人银行账户，同时，以电话、短信等方式通知到位。</w:t>
      </w:r>
      <w:r>
        <w:rPr>
          <w:rFonts w:hint="eastAsia"/>
          <w:lang w:eastAsia="zh-CN"/>
        </w:rPr>
        <w:t>按照“属地管理”原则，奖补资金由各级财政列入财政预算，</w:t>
      </w:r>
      <w:r>
        <w:rPr>
          <w:rFonts w:hint="eastAsia"/>
        </w:rPr>
        <w:t>公墓机构奖补资金可按季、半年、一年的方式到市殡葬服务中心或区民政局结算核拨，采用何种结算方式，由各地商定。</w:t>
      </w:r>
    </w:p>
    <w:p w14:paraId="0BCA6EDF">
      <w:pPr>
        <w:pStyle w:val="3"/>
        <w:ind w:firstLine="640"/>
      </w:pPr>
      <w:r>
        <w:t>六、监督管理</w:t>
      </w:r>
    </w:p>
    <w:p w14:paraId="6458D85A">
      <w:r>
        <w:rPr>
          <w:rFonts w:hint="eastAsia"/>
        </w:rPr>
        <w:t>（</w:t>
      </w:r>
      <w:r>
        <w:t>一</w:t>
      </w:r>
      <w:r>
        <w:rPr>
          <w:rFonts w:hint="eastAsia"/>
        </w:rPr>
        <w:t>）民政、财政部门对公墓机构发放的奖补资金负有监管职责，每年应对发放的奖补资金情况进行检查，杜绝错发、漏发或弄虚作假的行为。</w:t>
      </w:r>
    </w:p>
    <w:p w14:paraId="37405790">
      <w:r>
        <w:rPr>
          <w:rFonts w:hint="eastAsia"/>
        </w:rPr>
        <w:t>（</w:t>
      </w:r>
      <w:r>
        <w:t>二</w:t>
      </w:r>
      <w:r>
        <w:rPr>
          <w:rFonts w:hint="eastAsia"/>
        </w:rPr>
        <w:t>）</w:t>
      </w:r>
      <w:r>
        <w:t>经办人应如实提供申请材料，受理单位应严格审核，事后发现有弄虚作假和其它舞弊行为的，除追回损失外，视情节轻重，追究相关人员责任，依法依纪严肃处理。</w:t>
      </w:r>
    </w:p>
    <w:p w14:paraId="633A9229">
      <w:r>
        <w:rPr>
          <w:rFonts w:hint="eastAsia"/>
        </w:rPr>
        <w:t>（</w:t>
      </w:r>
      <w:r>
        <w:t>三</w:t>
      </w:r>
      <w:r>
        <w:rPr>
          <w:rFonts w:hint="eastAsia"/>
        </w:rPr>
        <w:t>）</w:t>
      </w:r>
      <w:r>
        <w:t>受理单位应留存所有申请材料，并归档保存。</w:t>
      </w:r>
    </w:p>
    <w:p w14:paraId="69E0125C">
      <w:pPr>
        <w:pStyle w:val="3"/>
        <w:ind w:firstLine="640"/>
      </w:pPr>
      <w:r>
        <w:t>七、实施时间</w:t>
      </w:r>
    </w:p>
    <w:p w14:paraId="3F3427CC">
      <w:r>
        <w:rPr>
          <w:rFonts w:hint="eastAsia"/>
        </w:rPr>
        <w:t>（</w:t>
      </w:r>
      <w:r>
        <w:t>一</w:t>
      </w:r>
      <w:r>
        <w:rPr>
          <w:rFonts w:hint="eastAsia"/>
        </w:rPr>
        <w:t>）</w:t>
      </w:r>
      <w:r>
        <w:rPr>
          <w:rFonts w:hint="eastAsia"/>
          <w:lang w:eastAsia="zh-CN"/>
        </w:rPr>
        <w:t>本办法自发布之日</w:t>
      </w:r>
      <w:r>
        <w:t>起实施</w:t>
      </w:r>
      <w:r>
        <w:rPr>
          <w:rFonts w:hint="eastAsia"/>
          <w:lang w:eastAsia="zh-CN"/>
        </w:rPr>
        <w:t>，有效期三年</w:t>
      </w:r>
      <w:r>
        <w:t>。</w:t>
      </w:r>
    </w:p>
    <w:p w14:paraId="3A1E5EB2">
      <w:pPr>
        <w:rPr>
          <w:rFonts w:hint="eastAsia" w:eastAsia="方正仿宋_GBK"/>
          <w:lang w:eastAsia="zh-CN"/>
        </w:rPr>
      </w:pPr>
      <w:r>
        <w:rPr>
          <w:rFonts w:hint="eastAsia"/>
        </w:rPr>
        <w:t>（</w:t>
      </w:r>
      <w:r>
        <w:rPr>
          <w:rFonts w:hint="eastAsia"/>
          <w:lang w:eastAsia="zh-CN"/>
        </w:rPr>
        <w:t>二</w:t>
      </w:r>
      <w:r>
        <w:rPr>
          <w:rFonts w:hint="eastAsia"/>
        </w:rPr>
        <w:t>）为保政策延续性，旧政策截止到新政策期间的节地生态奖补按照不超过500元的标准执行</w:t>
      </w:r>
      <w:r>
        <w:rPr>
          <w:rFonts w:hint="eastAsia"/>
          <w:lang w:eastAsia="zh-CN"/>
        </w:rPr>
        <w:t>。</w:t>
      </w:r>
    </w:p>
    <w:p w14:paraId="55EF6AA1"/>
    <w:p w14:paraId="49F7F5C3">
      <w:pPr>
        <w:rPr>
          <w:rFonts w:hint="eastAsia"/>
          <w:lang w:eastAsia="zh-CN"/>
        </w:rPr>
      </w:pPr>
      <w:r>
        <w:rPr>
          <w:rFonts w:hint="eastAsia"/>
          <w:lang w:eastAsia="zh-CN"/>
        </w:rPr>
        <w:t>附件：</w:t>
      </w:r>
      <w:r>
        <w:t>鄂州市节地生态安葬减免和奖补申请表</w:t>
      </w:r>
    </w:p>
    <w:p w14:paraId="3985C8FB"/>
    <w:p w14:paraId="75CD9A5F"/>
    <w:p w14:paraId="16AB81BF"/>
    <w:p w14:paraId="278B0C55">
      <w:pPr>
        <w:wordWrap w:val="0"/>
        <w:jc w:val="right"/>
        <w:rPr>
          <w:rFonts w:hint="default"/>
          <w:lang w:val="en-US" w:eastAsia="zh-CN"/>
        </w:rPr>
      </w:pPr>
      <w:r>
        <w:rPr>
          <w:rFonts w:hint="eastAsia"/>
          <w:lang w:val="en-US" w:eastAsia="zh-CN"/>
        </w:rPr>
        <w:t xml:space="preserve">鄂州市民政局           </w:t>
      </w:r>
    </w:p>
    <w:p w14:paraId="3F15A6D3">
      <w:pPr>
        <w:wordWrap w:val="0"/>
        <w:jc w:val="right"/>
        <w:rPr>
          <w:rFonts w:hint="default"/>
          <w:lang w:val="en-US" w:eastAsia="zh-CN"/>
        </w:rPr>
      </w:pPr>
      <w:r>
        <w:rPr>
          <w:rFonts w:hint="eastAsia"/>
          <w:lang w:val="en-US" w:eastAsia="zh-CN"/>
        </w:rPr>
        <w:t xml:space="preserve">2025年5月  日         </w:t>
      </w:r>
    </w:p>
    <w:p w14:paraId="6BC3ECEE">
      <w:r>
        <w:br w:type="page"/>
      </w:r>
    </w:p>
    <w:p w14:paraId="0F1B056F">
      <w:pPr>
        <w:ind w:firstLine="0" w:firstLineChars="0"/>
        <w:rPr>
          <w:rFonts w:hint="eastAsia" w:ascii="方正黑体_GBK" w:hAnsi="方正黑体_GBK" w:eastAsia="方正黑体_GBK" w:cs="方正黑体_GBK"/>
          <w:b w:val="0"/>
          <w:bCs w:val="0"/>
          <w:sz w:val="32"/>
          <w:szCs w:val="32"/>
          <w:lang w:eastAsia="zh-CN"/>
        </w:rPr>
      </w:pPr>
      <w:r>
        <w:rPr>
          <w:rFonts w:hint="eastAsia" w:ascii="方正黑体_GBK" w:hAnsi="方正黑体_GBK" w:eastAsia="方正黑体_GBK" w:cs="方正黑体_GBK"/>
          <w:b w:val="0"/>
          <w:bCs w:val="0"/>
          <w:sz w:val="32"/>
          <w:szCs w:val="32"/>
          <w:lang w:eastAsia="zh-CN"/>
        </w:rPr>
        <w:t>附件</w:t>
      </w:r>
    </w:p>
    <w:p w14:paraId="20930407">
      <w:pPr>
        <w:ind w:firstLine="0" w:firstLineChars="0"/>
        <w:jc w:val="center"/>
        <w:rPr>
          <w:rFonts w:hint="eastAsia" w:ascii="方正小标宋_GBK" w:hAnsi="方正小标宋_GBK" w:eastAsia="方正小标宋_GBK" w:cs="方正小标宋_GBK"/>
          <w:b w:val="0"/>
          <w:bCs w:val="0"/>
          <w:sz w:val="44"/>
          <w:szCs w:val="44"/>
        </w:rPr>
      </w:pPr>
      <w:r>
        <w:rPr>
          <w:rFonts w:hint="eastAsia" w:ascii="方正小标宋_GBK" w:hAnsi="方正小标宋_GBK" w:eastAsia="方正小标宋_GBK" w:cs="方正小标宋_GBK"/>
          <w:b w:val="0"/>
          <w:bCs w:val="0"/>
          <w:sz w:val="44"/>
          <w:szCs w:val="44"/>
        </w:rPr>
        <w:t>鄂州市节地生态安葬减免和奖补申请表</w:t>
      </w:r>
    </w:p>
    <w:p w14:paraId="7641D8A4"/>
    <w:tbl>
      <w:tblPr>
        <w:tblStyle w:val="8"/>
        <w:tblW w:w="4999" w:type="pct"/>
        <w:jc w:val="center"/>
        <w:tblLayout w:type="autofit"/>
        <w:tblCellMar>
          <w:top w:w="0" w:type="dxa"/>
          <w:left w:w="108" w:type="dxa"/>
          <w:bottom w:w="0" w:type="dxa"/>
          <w:right w:w="108" w:type="dxa"/>
        </w:tblCellMar>
      </w:tblPr>
      <w:tblGrid>
        <w:gridCol w:w="1473"/>
        <w:gridCol w:w="1208"/>
        <w:gridCol w:w="1230"/>
        <w:gridCol w:w="1210"/>
        <w:gridCol w:w="462"/>
        <w:gridCol w:w="746"/>
        <w:gridCol w:w="801"/>
        <w:gridCol w:w="418"/>
        <w:gridCol w:w="1510"/>
      </w:tblGrid>
      <w:tr w14:paraId="3D810E81">
        <w:tblPrEx>
          <w:tblCellMar>
            <w:top w:w="0" w:type="dxa"/>
            <w:left w:w="108" w:type="dxa"/>
            <w:bottom w:w="0" w:type="dxa"/>
            <w:right w:w="108" w:type="dxa"/>
          </w:tblCellMar>
        </w:tblPrEx>
        <w:trPr>
          <w:trHeight w:val="660" w:hRule="atLeast"/>
          <w:jc w:val="center"/>
        </w:trPr>
        <w:tc>
          <w:tcPr>
            <w:tcW w:w="81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46F9D9B">
            <w:pPr>
              <w:keepNext w:val="0"/>
              <w:keepLines w:val="0"/>
              <w:pageBreakBefore w:val="0"/>
              <w:widowControl/>
              <w:kinsoku/>
              <w:wordWrap/>
              <w:overflowPunct w:val="0"/>
              <w:topLinePunct w:val="0"/>
              <w:autoSpaceDE/>
              <w:autoSpaceDN/>
              <w:bidi w:val="0"/>
              <w:adjustRightInd/>
              <w:snapToGrid/>
              <w:spacing w:line="320" w:lineRule="exact"/>
              <w:ind w:firstLine="0" w:firstLineChars="0"/>
              <w:jc w:val="center"/>
              <w:textAlignment w:val="center"/>
              <w:rPr>
                <w:rFonts w:hint="default" w:ascii="Times New Roman" w:hAnsi="Times New Roman" w:eastAsia="方正仿宋_GBK" w:cs="Times New Roman"/>
                <w:color w:val="000000"/>
                <w:kern w:val="0"/>
                <w:sz w:val="22"/>
                <w:szCs w:val="22"/>
              </w:rPr>
            </w:pPr>
            <w:r>
              <w:rPr>
                <w:rFonts w:hint="default" w:ascii="Times New Roman" w:hAnsi="Times New Roman" w:eastAsia="方正仿宋_GBK" w:cs="Times New Roman"/>
                <w:color w:val="000000"/>
                <w:kern w:val="0"/>
                <w:sz w:val="22"/>
                <w:szCs w:val="22"/>
              </w:rPr>
              <w:t>申请人</w:t>
            </w:r>
          </w:p>
          <w:p w14:paraId="31C2AF86">
            <w:pPr>
              <w:keepNext w:val="0"/>
              <w:keepLines w:val="0"/>
              <w:pageBreakBefore w:val="0"/>
              <w:widowControl/>
              <w:kinsoku/>
              <w:wordWrap/>
              <w:overflowPunct w:val="0"/>
              <w:topLinePunct w:val="0"/>
              <w:autoSpaceDE/>
              <w:autoSpaceDN/>
              <w:bidi w:val="0"/>
              <w:adjustRightInd/>
              <w:snapToGrid/>
              <w:spacing w:line="320" w:lineRule="exact"/>
              <w:ind w:firstLine="0" w:firstLineChars="0"/>
              <w:jc w:val="center"/>
              <w:textAlignment w:val="center"/>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kern w:val="0"/>
                <w:sz w:val="22"/>
                <w:szCs w:val="22"/>
              </w:rPr>
              <w:t>基本信息</w:t>
            </w:r>
          </w:p>
        </w:tc>
        <w:tc>
          <w:tcPr>
            <w:tcW w:w="6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D05EAB">
            <w:pPr>
              <w:keepNext w:val="0"/>
              <w:keepLines w:val="0"/>
              <w:pageBreakBefore w:val="0"/>
              <w:widowControl/>
              <w:kinsoku/>
              <w:wordWrap/>
              <w:overflowPunct w:val="0"/>
              <w:topLinePunct w:val="0"/>
              <w:autoSpaceDE/>
              <w:autoSpaceDN/>
              <w:bidi w:val="0"/>
              <w:adjustRightInd/>
              <w:snapToGrid/>
              <w:spacing w:line="320" w:lineRule="exact"/>
              <w:ind w:firstLine="0" w:firstLineChars="0"/>
              <w:jc w:val="center"/>
              <w:textAlignment w:val="center"/>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kern w:val="0"/>
                <w:sz w:val="22"/>
                <w:szCs w:val="22"/>
              </w:rPr>
              <w:t>姓名</w:t>
            </w:r>
          </w:p>
        </w:tc>
        <w:tc>
          <w:tcPr>
            <w:tcW w:w="134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5ECEDE5">
            <w:pPr>
              <w:keepNext w:val="0"/>
              <w:keepLines w:val="0"/>
              <w:pageBreakBefore w:val="0"/>
              <w:kinsoku/>
              <w:wordWrap/>
              <w:overflowPunct w:val="0"/>
              <w:topLinePunct w:val="0"/>
              <w:autoSpaceDE/>
              <w:autoSpaceDN/>
              <w:bidi w:val="0"/>
              <w:adjustRightInd/>
              <w:snapToGrid/>
              <w:spacing w:line="320" w:lineRule="exact"/>
              <w:ind w:firstLine="440"/>
              <w:jc w:val="center"/>
              <w:rPr>
                <w:rFonts w:hint="default" w:ascii="Times New Roman" w:hAnsi="Times New Roman" w:eastAsia="方正仿宋_GBK" w:cs="Times New Roman"/>
                <w:color w:val="000000"/>
                <w:sz w:val="22"/>
                <w:szCs w:val="22"/>
              </w:rPr>
            </w:pP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F2D5AFA">
            <w:pPr>
              <w:keepNext w:val="0"/>
              <w:keepLines w:val="0"/>
              <w:pageBreakBefore w:val="0"/>
              <w:widowControl/>
              <w:kinsoku/>
              <w:wordWrap/>
              <w:overflowPunct w:val="0"/>
              <w:topLinePunct w:val="0"/>
              <w:autoSpaceDE/>
              <w:autoSpaceDN/>
              <w:bidi w:val="0"/>
              <w:adjustRightInd/>
              <w:snapToGrid/>
              <w:spacing w:line="320" w:lineRule="exact"/>
              <w:ind w:firstLine="0" w:firstLineChars="0"/>
              <w:jc w:val="center"/>
              <w:textAlignment w:val="center"/>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kern w:val="0"/>
                <w:sz w:val="22"/>
                <w:szCs w:val="22"/>
              </w:rPr>
              <w:t>与死亡人关系</w:t>
            </w:r>
          </w:p>
        </w:tc>
        <w:tc>
          <w:tcPr>
            <w:tcW w:w="1504"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CC6E8D7">
            <w:pPr>
              <w:keepNext w:val="0"/>
              <w:keepLines w:val="0"/>
              <w:pageBreakBefore w:val="0"/>
              <w:kinsoku/>
              <w:wordWrap/>
              <w:overflowPunct w:val="0"/>
              <w:topLinePunct w:val="0"/>
              <w:autoSpaceDE/>
              <w:autoSpaceDN/>
              <w:bidi w:val="0"/>
              <w:adjustRightInd/>
              <w:snapToGrid/>
              <w:spacing w:line="320" w:lineRule="exact"/>
              <w:ind w:firstLine="440"/>
              <w:jc w:val="center"/>
              <w:rPr>
                <w:rFonts w:hint="default" w:ascii="Times New Roman" w:hAnsi="Times New Roman" w:eastAsia="方正仿宋_GBK" w:cs="Times New Roman"/>
                <w:color w:val="000000"/>
                <w:sz w:val="22"/>
                <w:szCs w:val="22"/>
              </w:rPr>
            </w:pPr>
          </w:p>
        </w:tc>
      </w:tr>
      <w:tr w14:paraId="74B7A89F">
        <w:tblPrEx>
          <w:tblCellMar>
            <w:top w:w="0" w:type="dxa"/>
            <w:left w:w="108" w:type="dxa"/>
            <w:bottom w:w="0" w:type="dxa"/>
            <w:right w:w="108" w:type="dxa"/>
          </w:tblCellMar>
        </w:tblPrEx>
        <w:trPr>
          <w:trHeight w:val="660" w:hRule="atLeast"/>
          <w:jc w:val="center"/>
        </w:trPr>
        <w:tc>
          <w:tcPr>
            <w:tcW w:w="81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05E9BE">
            <w:pPr>
              <w:keepNext w:val="0"/>
              <w:keepLines w:val="0"/>
              <w:pageBreakBefore w:val="0"/>
              <w:kinsoku/>
              <w:wordWrap/>
              <w:overflowPunct w:val="0"/>
              <w:topLinePunct w:val="0"/>
              <w:autoSpaceDE/>
              <w:autoSpaceDN/>
              <w:bidi w:val="0"/>
              <w:adjustRightInd/>
              <w:snapToGrid/>
              <w:spacing w:line="320" w:lineRule="exact"/>
              <w:ind w:firstLine="440"/>
              <w:jc w:val="center"/>
              <w:rPr>
                <w:rFonts w:hint="default" w:ascii="Times New Roman" w:hAnsi="Times New Roman" w:eastAsia="方正仿宋_GBK" w:cs="Times New Roman"/>
                <w:color w:val="000000"/>
                <w:sz w:val="22"/>
                <w:szCs w:val="22"/>
              </w:rPr>
            </w:pPr>
          </w:p>
        </w:tc>
        <w:tc>
          <w:tcPr>
            <w:tcW w:w="6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89E8F4">
            <w:pPr>
              <w:keepNext w:val="0"/>
              <w:keepLines w:val="0"/>
              <w:pageBreakBefore w:val="0"/>
              <w:widowControl/>
              <w:kinsoku/>
              <w:wordWrap/>
              <w:overflowPunct w:val="0"/>
              <w:topLinePunct w:val="0"/>
              <w:autoSpaceDE/>
              <w:autoSpaceDN/>
              <w:bidi w:val="0"/>
              <w:adjustRightInd/>
              <w:snapToGrid/>
              <w:spacing w:line="320" w:lineRule="exact"/>
              <w:ind w:firstLine="0" w:firstLineChars="0"/>
              <w:textAlignment w:val="center"/>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kern w:val="0"/>
                <w:sz w:val="22"/>
                <w:szCs w:val="22"/>
              </w:rPr>
              <w:t>常住地址</w:t>
            </w:r>
          </w:p>
        </w:tc>
        <w:tc>
          <w:tcPr>
            <w:tcW w:w="3519"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65577F14">
            <w:pPr>
              <w:keepNext w:val="0"/>
              <w:keepLines w:val="0"/>
              <w:pageBreakBefore w:val="0"/>
              <w:kinsoku/>
              <w:wordWrap/>
              <w:overflowPunct w:val="0"/>
              <w:topLinePunct w:val="0"/>
              <w:autoSpaceDE/>
              <w:autoSpaceDN/>
              <w:bidi w:val="0"/>
              <w:adjustRightInd/>
              <w:snapToGrid/>
              <w:spacing w:line="320" w:lineRule="exact"/>
              <w:ind w:firstLine="440"/>
              <w:jc w:val="center"/>
              <w:rPr>
                <w:rFonts w:hint="default" w:ascii="Times New Roman" w:hAnsi="Times New Roman" w:eastAsia="方正仿宋_GBK" w:cs="Times New Roman"/>
                <w:color w:val="000000"/>
                <w:sz w:val="22"/>
                <w:szCs w:val="22"/>
              </w:rPr>
            </w:pPr>
          </w:p>
        </w:tc>
      </w:tr>
      <w:tr w14:paraId="361FB251">
        <w:tblPrEx>
          <w:tblCellMar>
            <w:top w:w="0" w:type="dxa"/>
            <w:left w:w="108" w:type="dxa"/>
            <w:bottom w:w="0" w:type="dxa"/>
            <w:right w:w="108" w:type="dxa"/>
          </w:tblCellMar>
        </w:tblPrEx>
        <w:trPr>
          <w:trHeight w:val="660" w:hRule="atLeast"/>
          <w:jc w:val="center"/>
        </w:trPr>
        <w:tc>
          <w:tcPr>
            <w:tcW w:w="81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F8AF09">
            <w:pPr>
              <w:keepNext w:val="0"/>
              <w:keepLines w:val="0"/>
              <w:pageBreakBefore w:val="0"/>
              <w:kinsoku/>
              <w:wordWrap/>
              <w:overflowPunct w:val="0"/>
              <w:topLinePunct w:val="0"/>
              <w:autoSpaceDE/>
              <w:autoSpaceDN/>
              <w:bidi w:val="0"/>
              <w:adjustRightInd/>
              <w:snapToGrid/>
              <w:spacing w:line="320" w:lineRule="exact"/>
              <w:ind w:firstLine="440"/>
              <w:jc w:val="center"/>
              <w:rPr>
                <w:rFonts w:hint="default" w:ascii="Times New Roman" w:hAnsi="Times New Roman" w:eastAsia="方正仿宋_GBK" w:cs="Times New Roman"/>
                <w:color w:val="000000"/>
                <w:sz w:val="22"/>
                <w:szCs w:val="22"/>
              </w:rPr>
            </w:pPr>
          </w:p>
        </w:tc>
        <w:tc>
          <w:tcPr>
            <w:tcW w:w="6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2079BE">
            <w:pPr>
              <w:keepNext w:val="0"/>
              <w:keepLines w:val="0"/>
              <w:pageBreakBefore w:val="0"/>
              <w:widowControl/>
              <w:kinsoku/>
              <w:wordWrap/>
              <w:overflowPunct w:val="0"/>
              <w:topLinePunct w:val="0"/>
              <w:autoSpaceDE/>
              <w:autoSpaceDN/>
              <w:bidi w:val="0"/>
              <w:adjustRightInd/>
              <w:snapToGrid/>
              <w:spacing w:line="320" w:lineRule="exact"/>
              <w:ind w:firstLine="0" w:firstLineChars="0"/>
              <w:textAlignment w:val="center"/>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kern w:val="0"/>
                <w:sz w:val="22"/>
                <w:szCs w:val="22"/>
              </w:rPr>
              <w:t>身份证号</w:t>
            </w:r>
          </w:p>
        </w:tc>
        <w:tc>
          <w:tcPr>
            <w:tcW w:w="134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9157017">
            <w:pPr>
              <w:keepNext w:val="0"/>
              <w:keepLines w:val="0"/>
              <w:pageBreakBefore w:val="0"/>
              <w:kinsoku/>
              <w:wordWrap/>
              <w:overflowPunct w:val="0"/>
              <w:topLinePunct w:val="0"/>
              <w:autoSpaceDE/>
              <w:autoSpaceDN/>
              <w:bidi w:val="0"/>
              <w:adjustRightInd/>
              <w:snapToGrid/>
              <w:spacing w:line="320" w:lineRule="exact"/>
              <w:ind w:firstLine="440"/>
              <w:jc w:val="center"/>
              <w:rPr>
                <w:rFonts w:hint="default" w:ascii="Times New Roman" w:hAnsi="Times New Roman" w:eastAsia="方正仿宋_GBK" w:cs="Times New Roman"/>
                <w:color w:val="000000"/>
                <w:sz w:val="22"/>
                <w:szCs w:val="22"/>
              </w:rPr>
            </w:pP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83C9822">
            <w:pPr>
              <w:keepNext w:val="0"/>
              <w:keepLines w:val="0"/>
              <w:pageBreakBefore w:val="0"/>
              <w:widowControl/>
              <w:kinsoku/>
              <w:wordWrap/>
              <w:overflowPunct w:val="0"/>
              <w:topLinePunct w:val="0"/>
              <w:autoSpaceDE/>
              <w:autoSpaceDN/>
              <w:bidi w:val="0"/>
              <w:adjustRightInd/>
              <w:snapToGrid/>
              <w:spacing w:line="320" w:lineRule="exact"/>
              <w:ind w:firstLine="0" w:firstLineChars="0"/>
              <w:textAlignment w:val="center"/>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kern w:val="0"/>
                <w:sz w:val="22"/>
                <w:szCs w:val="22"/>
              </w:rPr>
              <w:t>联系方式</w:t>
            </w:r>
          </w:p>
        </w:tc>
        <w:tc>
          <w:tcPr>
            <w:tcW w:w="1504"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12541EC">
            <w:pPr>
              <w:keepNext w:val="0"/>
              <w:keepLines w:val="0"/>
              <w:pageBreakBefore w:val="0"/>
              <w:kinsoku/>
              <w:wordWrap/>
              <w:overflowPunct w:val="0"/>
              <w:topLinePunct w:val="0"/>
              <w:autoSpaceDE/>
              <w:autoSpaceDN/>
              <w:bidi w:val="0"/>
              <w:adjustRightInd/>
              <w:snapToGrid/>
              <w:spacing w:line="320" w:lineRule="exact"/>
              <w:ind w:firstLine="440"/>
              <w:jc w:val="center"/>
              <w:rPr>
                <w:rFonts w:hint="default" w:ascii="Times New Roman" w:hAnsi="Times New Roman" w:eastAsia="方正仿宋_GBK" w:cs="Times New Roman"/>
                <w:color w:val="000000"/>
                <w:sz w:val="22"/>
                <w:szCs w:val="22"/>
              </w:rPr>
            </w:pPr>
          </w:p>
        </w:tc>
      </w:tr>
      <w:tr w14:paraId="4E1466C3">
        <w:tblPrEx>
          <w:tblCellMar>
            <w:top w:w="0" w:type="dxa"/>
            <w:left w:w="108" w:type="dxa"/>
            <w:bottom w:w="0" w:type="dxa"/>
            <w:right w:w="108" w:type="dxa"/>
          </w:tblCellMar>
        </w:tblPrEx>
        <w:trPr>
          <w:trHeight w:val="660" w:hRule="atLeast"/>
          <w:jc w:val="center"/>
        </w:trPr>
        <w:tc>
          <w:tcPr>
            <w:tcW w:w="81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D185ED6">
            <w:pPr>
              <w:keepNext w:val="0"/>
              <w:keepLines w:val="0"/>
              <w:pageBreakBefore w:val="0"/>
              <w:widowControl/>
              <w:kinsoku/>
              <w:wordWrap/>
              <w:overflowPunct w:val="0"/>
              <w:topLinePunct w:val="0"/>
              <w:autoSpaceDE/>
              <w:autoSpaceDN/>
              <w:bidi w:val="0"/>
              <w:adjustRightInd/>
              <w:snapToGrid/>
              <w:spacing w:line="320" w:lineRule="exact"/>
              <w:ind w:firstLine="0" w:firstLineChars="0"/>
              <w:jc w:val="center"/>
              <w:textAlignment w:val="center"/>
              <w:rPr>
                <w:rFonts w:hint="default" w:ascii="Times New Roman" w:hAnsi="Times New Roman" w:eastAsia="方正仿宋_GBK" w:cs="Times New Roman"/>
                <w:color w:val="000000"/>
                <w:kern w:val="0"/>
                <w:sz w:val="22"/>
                <w:szCs w:val="22"/>
              </w:rPr>
            </w:pPr>
            <w:r>
              <w:rPr>
                <w:rFonts w:hint="default" w:ascii="Times New Roman" w:hAnsi="Times New Roman" w:eastAsia="方正仿宋_GBK" w:cs="Times New Roman"/>
                <w:color w:val="000000"/>
                <w:kern w:val="0"/>
                <w:sz w:val="22"/>
                <w:szCs w:val="22"/>
              </w:rPr>
              <w:t>入葬</w:t>
            </w:r>
          </w:p>
          <w:p w14:paraId="2467E235">
            <w:pPr>
              <w:keepNext w:val="0"/>
              <w:keepLines w:val="0"/>
              <w:pageBreakBefore w:val="0"/>
              <w:widowControl/>
              <w:kinsoku/>
              <w:wordWrap/>
              <w:overflowPunct w:val="0"/>
              <w:topLinePunct w:val="0"/>
              <w:autoSpaceDE/>
              <w:autoSpaceDN/>
              <w:bidi w:val="0"/>
              <w:adjustRightInd/>
              <w:snapToGrid/>
              <w:spacing w:line="320" w:lineRule="exact"/>
              <w:ind w:firstLine="0" w:firstLineChars="0"/>
              <w:jc w:val="center"/>
              <w:textAlignment w:val="center"/>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kern w:val="0"/>
                <w:sz w:val="22"/>
                <w:szCs w:val="22"/>
              </w:rPr>
              <w:t>人员信息</w:t>
            </w:r>
          </w:p>
        </w:tc>
        <w:tc>
          <w:tcPr>
            <w:tcW w:w="6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73B017">
            <w:pPr>
              <w:keepNext w:val="0"/>
              <w:keepLines w:val="0"/>
              <w:pageBreakBefore w:val="0"/>
              <w:widowControl/>
              <w:kinsoku/>
              <w:wordWrap/>
              <w:overflowPunct w:val="0"/>
              <w:topLinePunct w:val="0"/>
              <w:autoSpaceDE/>
              <w:autoSpaceDN/>
              <w:bidi w:val="0"/>
              <w:adjustRightInd/>
              <w:snapToGrid/>
              <w:spacing w:line="320" w:lineRule="exact"/>
              <w:ind w:firstLine="0" w:firstLineChars="0"/>
              <w:jc w:val="center"/>
              <w:textAlignment w:val="center"/>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kern w:val="0"/>
                <w:sz w:val="22"/>
                <w:szCs w:val="22"/>
              </w:rPr>
              <w:t>姓名</w:t>
            </w:r>
          </w:p>
        </w:tc>
        <w:tc>
          <w:tcPr>
            <w:tcW w:w="6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A9EDD1">
            <w:pPr>
              <w:keepNext w:val="0"/>
              <w:keepLines w:val="0"/>
              <w:pageBreakBefore w:val="0"/>
              <w:kinsoku/>
              <w:wordWrap/>
              <w:overflowPunct w:val="0"/>
              <w:topLinePunct w:val="0"/>
              <w:autoSpaceDE/>
              <w:autoSpaceDN/>
              <w:bidi w:val="0"/>
              <w:adjustRightInd/>
              <w:snapToGrid/>
              <w:spacing w:line="320" w:lineRule="exact"/>
              <w:ind w:firstLine="440"/>
              <w:jc w:val="center"/>
              <w:rPr>
                <w:rFonts w:hint="default" w:ascii="Times New Roman" w:hAnsi="Times New Roman" w:eastAsia="方正仿宋_GBK" w:cs="Times New Roman"/>
                <w:color w:val="000000"/>
                <w:sz w:val="22"/>
                <w:szCs w:val="22"/>
              </w:rPr>
            </w:pPr>
          </w:p>
        </w:tc>
        <w:tc>
          <w:tcPr>
            <w:tcW w:w="6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A50B46">
            <w:pPr>
              <w:keepNext w:val="0"/>
              <w:keepLines w:val="0"/>
              <w:pageBreakBefore w:val="0"/>
              <w:widowControl/>
              <w:kinsoku/>
              <w:wordWrap/>
              <w:overflowPunct w:val="0"/>
              <w:topLinePunct w:val="0"/>
              <w:autoSpaceDE/>
              <w:autoSpaceDN/>
              <w:bidi w:val="0"/>
              <w:adjustRightInd/>
              <w:snapToGrid/>
              <w:spacing w:line="320" w:lineRule="exact"/>
              <w:ind w:firstLine="0" w:firstLineChars="0"/>
              <w:jc w:val="center"/>
              <w:textAlignment w:val="center"/>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kern w:val="0"/>
                <w:sz w:val="22"/>
                <w:szCs w:val="22"/>
              </w:rPr>
              <w:t>性别</w:t>
            </w:r>
          </w:p>
        </w:tc>
        <w:tc>
          <w:tcPr>
            <w:tcW w:w="66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02F7E9E">
            <w:pPr>
              <w:keepNext w:val="0"/>
              <w:keepLines w:val="0"/>
              <w:pageBreakBefore w:val="0"/>
              <w:kinsoku/>
              <w:wordWrap/>
              <w:overflowPunct w:val="0"/>
              <w:topLinePunct w:val="0"/>
              <w:autoSpaceDE/>
              <w:autoSpaceDN/>
              <w:bidi w:val="0"/>
              <w:adjustRightInd/>
              <w:snapToGrid/>
              <w:spacing w:line="320" w:lineRule="exact"/>
              <w:ind w:firstLine="440"/>
              <w:jc w:val="center"/>
              <w:rPr>
                <w:rFonts w:hint="default" w:ascii="Times New Roman" w:hAnsi="Times New Roman" w:eastAsia="方正仿宋_GBK" w:cs="Times New Roman"/>
                <w:color w:val="000000"/>
                <w:sz w:val="22"/>
                <w:szCs w:val="22"/>
              </w:rPr>
            </w:pPr>
          </w:p>
        </w:tc>
        <w:tc>
          <w:tcPr>
            <w:tcW w:w="67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80D38F6">
            <w:pPr>
              <w:keepNext w:val="0"/>
              <w:keepLines w:val="0"/>
              <w:pageBreakBefore w:val="0"/>
              <w:widowControl/>
              <w:kinsoku/>
              <w:wordWrap/>
              <w:overflowPunct w:val="0"/>
              <w:topLinePunct w:val="0"/>
              <w:autoSpaceDE/>
              <w:autoSpaceDN/>
              <w:bidi w:val="0"/>
              <w:adjustRightInd/>
              <w:snapToGrid/>
              <w:spacing w:line="320" w:lineRule="exact"/>
              <w:ind w:firstLine="0" w:firstLineChars="0"/>
              <w:jc w:val="center"/>
              <w:textAlignment w:val="center"/>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kern w:val="0"/>
                <w:sz w:val="22"/>
                <w:szCs w:val="22"/>
              </w:rPr>
              <w:t>年龄</w:t>
            </w:r>
          </w:p>
        </w:tc>
        <w:tc>
          <w:tcPr>
            <w:tcW w:w="8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F089A7">
            <w:pPr>
              <w:keepNext w:val="0"/>
              <w:keepLines w:val="0"/>
              <w:pageBreakBefore w:val="0"/>
              <w:kinsoku/>
              <w:wordWrap/>
              <w:overflowPunct w:val="0"/>
              <w:topLinePunct w:val="0"/>
              <w:autoSpaceDE/>
              <w:autoSpaceDN/>
              <w:bidi w:val="0"/>
              <w:adjustRightInd/>
              <w:snapToGrid/>
              <w:spacing w:line="320" w:lineRule="exact"/>
              <w:ind w:firstLine="440"/>
              <w:jc w:val="center"/>
              <w:rPr>
                <w:rFonts w:hint="default" w:ascii="Times New Roman" w:hAnsi="Times New Roman" w:eastAsia="方正仿宋_GBK" w:cs="Times New Roman"/>
                <w:color w:val="000000"/>
                <w:sz w:val="22"/>
                <w:szCs w:val="22"/>
              </w:rPr>
            </w:pPr>
          </w:p>
        </w:tc>
      </w:tr>
      <w:tr w14:paraId="69BD50EB">
        <w:tblPrEx>
          <w:tblCellMar>
            <w:top w:w="0" w:type="dxa"/>
            <w:left w:w="108" w:type="dxa"/>
            <w:bottom w:w="0" w:type="dxa"/>
            <w:right w:w="108" w:type="dxa"/>
          </w:tblCellMar>
        </w:tblPrEx>
        <w:trPr>
          <w:trHeight w:val="660" w:hRule="atLeast"/>
          <w:jc w:val="center"/>
        </w:trPr>
        <w:tc>
          <w:tcPr>
            <w:tcW w:w="81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27A80E">
            <w:pPr>
              <w:keepNext w:val="0"/>
              <w:keepLines w:val="0"/>
              <w:pageBreakBefore w:val="0"/>
              <w:kinsoku/>
              <w:wordWrap/>
              <w:overflowPunct w:val="0"/>
              <w:topLinePunct w:val="0"/>
              <w:autoSpaceDE/>
              <w:autoSpaceDN/>
              <w:bidi w:val="0"/>
              <w:adjustRightInd/>
              <w:snapToGrid/>
              <w:spacing w:line="320" w:lineRule="exact"/>
              <w:ind w:firstLine="440"/>
              <w:jc w:val="center"/>
              <w:rPr>
                <w:rFonts w:hint="default" w:ascii="Times New Roman" w:hAnsi="Times New Roman" w:eastAsia="方正仿宋_GBK" w:cs="Times New Roman"/>
                <w:color w:val="000000"/>
                <w:sz w:val="22"/>
                <w:szCs w:val="22"/>
              </w:rPr>
            </w:pPr>
          </w:p>
        </w:tc>
        <w:tc>
          <w:tcPr>
            <w:tcW w:w="6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30AC0D">
            <w:pPr>
              <w:keepNext w:val="0"/>
              <w:keepLines w:val="0"/>
              <w:pageBreakBefore w:val="0"/>
              <w:widowControl/>
              <w:kinsoku/>
              <w:wordWrap/>
              <w:overflowPunct w:val="0"/>
              <w:topLinePunct w:val="0"/>
              <w:autoSpaceDE/>
              <w:autoSpaceDN/>
              <w:bidi w:val="0"/>
              <w:adjustRightInd/>
              <w:snapToGrid/>
              <w:spacing w:line="320" w:lineRule="exact"/>
              <w:ind w:firstLine="0" w:firstLineChars="0"/>
              <w:textAlignment w:val="center"/>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kern w:val="0"/>
                <w:sz w:val="22"/>
                <w:szCs w:val="22"/>
              </w:rPr>
              <w:t>身份证号</w:t>
            </w:r>
          </w:p>
        </w:tc>
        <w:tc>
          <w:tcPr>
            <w:tcW w:w="3519"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1C381CC1">
            <w:pPr>
              <w:keepNext w:val="0"/>
              <w:keepLines w:val="0"/>
              <w:pageBreakBefore w:val="0"/>
              <w:kinsoku/>
              <w:wordWrap/>
              <w:overflowPunct w:val="0"/>
              <w:topLinePunct w:val="0"/>
              <w:autoSpaceDE/>
              <w:autoSpaceDN/>
              <w:bidi w:val="0"/>
              <w:adjustRightInd/>
              <w:snapToGrid/>
              <w:spacing w:line="320" w:lineRule="exact"/>
              <w:ind w:firstLine="440"/>
              <w:jc w:val="center"/>
              <w:rPr>
                <w:rFonts w:hint="default" w:ascii="Times New Roman" w:hAnsi="Times New Roman" w:eastAsia="方正仿宋_GBK" w:cs="Times New Roman"/>
                <w:color w:val="000000"/>
                <w:sz w:val="22"/>
                <w:szCs w:val="22"/>
              </w:rPr>
            </w:pPr>
          </w:p>
        </w:tc>
      </w:tr>
      <w:tr w14:paraId="343D00FF">
        <w:tblPrEx>
          <w:tblCellMar>
            <w:top w:w="0" w:type="dxa"/>
            <w:left w:w="108" w:type="dxa"/>
            <w:bottom w:w="0" w:type="dxa"/>
            <w:right w:w="108" w:type="dxa"/>
          </w:tblCellMar>
        </w:tblPrEx>
        <w:trPr>
          <w:trHeight w:val="460" w:hRule="atLeast"/>
          <w:jc w:val="center"/>
        </w:trPr>
        <w:tc>
          <w:tcPr>
            <w:tcW w:w="8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9DC070">
            <w:pPr>
              <w:keepNext w:val="0"/>
              <w:keepLines w:val="0"/>
              <w:pageBreakBefore w:val="0"/>
              <w:widowControl/>
              <w:kinsoku/>
              <w:wordWrap/>
              <w:overflowPunct w:val="0"/>
              <w:topLinePunct w:val="0"/>
              <w:autoSpaceDE/>
              <w:autoSpaceDN/>
              <w:bidi w:val="0"/>
              <w:adjustRightInd/>
              <w:snapToGrid/>
              <w:spacing w:line="320" w:lineRule="exact"/>
              <w:ind w:firstLine="0" w:firstLineChars="0"/>
              <w:jc w:val="center"/>
              <w:textAlignment w:val="center"/>
              <w:rPr>
                <w:rFonts w:hint="default" w:ascii="Times New Roman" w:hAnsi="Times New Roman" w:eastAsia="方正仿宋_GBK" w:cs="Times New Roman"/>
                <w:color w:val="000000"/>
                <w:kern w:val="0"/>
                <w:sz w:val="22"/>
                <w:szCs w:val="22"/>
              </w:rPr>
            </w:pPr>
            <w:r>
              <w:rPr>
                <w:rFonts w:hint="default" w:ascii="Times New Roman" w:hAnsi="Times New Roman" w:eastAsia="方正仿宋_GBK" w:cs="Times New Roman"/>
                <w:color w:val="000000"/>
                <w:kern w:val="0"/>
                <w:sz w:val="22"/>
                <w:szCs w:val="22"/>
              </w:rPr>
              <w:t>申请何种</w:t>
            </w:r>
          </w:p>
          <w:p w14:paraId="29B22C76">
            <w:pPr>
              <w:keepNext w:val="0"/>
              <w:keepLines w:val="0"/>
              <w:pageBreakBefore w:val="0"/>
              <w:widowControl/>
              <w:kinsoku/>
              <w:wordWrap/>
              <w:overflowPunct w:val="0"/>
              <w:topLinePunct w:val="0"/>
              <w:autoSpaceDE/>
              <w:autoSpaceDN/>
              <w:bidi w:val="0"/>
              <w:adjustRightInd/>
              <w:snapToGrid/>
              <w:spacing w:line="320" w:lineRule="exact"/>
              <w:ind w:firstLine="0" w:firstLineChars="0"/>
              <w:jc w:val="center"/>
              <w:textAlignment w:val="center"/>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kern w:val="0"/>
                <w:sz w:val="22"/>
                <w:szCs w:val="22"/>
              </w:rPr>
              <w:t>生态葬法</w:t>
            </w:r>
          </w:p>
        </w:tc>
        <w:tc>
          <w:tcPr>
            <w:tcW w:w="4186"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50F41799">
            <w:pPr>
              <w:keepNext w:val="0"/>
              <w:keepLines w:val="0"/>
              <w:pageBreakBefore w:val="0"/>
              <w:kinsoku/>
              <w:wordWrap/>
              <w:overflowPunct w:val="0"/>
              <w:topLinePunct w:val="0"/>
              <w:autoSpaceDE/>
              <w:autoSpaceDN/>
              <w:bidi w:val="0"/>
              <w:adjustRightInd/>
              <w:snapToGrid/>
              <w:spacing w:line="320" w:lineRule="exact"/>
              <w:ind w:firstLine="440"/>
              <w:jc w:val="center"/>
              <w:rPr>
                <w:rFonts w:hint="default" w:ascii="Times New Roman" w:hAnsi="Times New Roman" w:eastAsia="方正仿宋_GBK" w:cs="Times New Roman"/>
                <w:color w:val="000000"/>
                <w:sz w:val="22"/>
                <w:szCs w:val="22"/>
              </w:rPr>
            </w:pPr>
          </w:p>
        </w:tc>
      </w:tr>
      <w:tr w14:paraId="002CCC53">
        <w:tblPrEx>
          <w:tblCellMar>
            <w:top w:w="0" w:type="dxa"/>
            <w:left w:w="108" w:type="dxa"/>
            <w:bottom w:w="0" w:type="dxa"/>
            <w:right w:w="108" w:type="dxa"/>
          </w:tblCellMar>
        </w:tblPrEx>
        <w:trPr>
          <w:trHeight w:val="660" w:hRule="atLeast"/>
          <w:jc w:val="center"/>
        </w:trPr>
        <w:tc>
          <w:tcPr>
            <w:tcW w:w="813" w:type="pct"/>
            <w:vMerge w:val="restart"/>
            <w:tcBorders>
              <w:top w:val="single" w:color="000000" w:sz="4" w:space="0"/>
              <w:left w:val="single" w:color="000000" w:sz="4" w:space="0"/>
              <w:bottom w:val="nil"/>
              <w:right w:val="single" w:color="000000" w:sz="4" w:space="0"/>
            </w:tcBorders>
            <w:shd w:val="clear" w:color="auto" w:fill="auto"/>
            <w:vAlign w:val="center"/>
          </w:tcPr>
          <w:p w14:paraId="1F591333">
            <w:pPr>
              <w:keepNext w:val="0"/>
              <w:keepLines w:val="0"/>
              <w:pageBreakBefore w:val="0"/>
              <w:widowControl/>
              <w:kinsoku/>
              <w:wordWrap/>
              <w:overflowPunct w:val="0"/>
              <w:topLinePunct w:val="0"/>
              <w:autoSpaceDE/>
              <w:autoSpaceDN/>
              <w:bidi w:val="0"/>
              <w:adjustRightInd/>
              <w:snapToGrid/>
              <w:spacing w:line="320" w:lineRule="exact"/>
              <w:ind w:firstLine="0" w:firstLineChars="0"/>
              <w:jc w:val="center"/>
              <w:textAlignment w:val="center"/>
              <w:rPr>
                <w:rFonts w:hint="default" w:ascii="Times New Roman" w:hAnsi="Times New Roman" w:eastAsia="方正仿宋_GBK" w:cs="Times New Roman"/>
                <w:color w:val="000000"/>
                <w:kern w:val="0"/>
                <w:sz w:val="22"/>
                <w:szCs w:val="22"/>
              </w:rPr>
            </w:pPr>
            <w:r>
              <w:rPr>
                <w:rFonts w:hint="default" w:ascii="Times New Roman" w:hAnsi="Times New Roman" w:eastAsia="方正仿宋_GBK" w:cs="Times New Roman"/>
                <w:color w:val="000000"/>
                <w:kern w:val="0"/>
                <w:sz w:val="22"/>
                <w:szCs w:val="22"/>
              </w:rPr>
              <w:t>银行卡</w:t>
            </w:r>
          </w:p>
          <w:p w14:paraId="11BE5948">
            <w:pPr>
              <w:keepNext w:val="0"/>
              <w:keepLines w:val="0"/>
              <w:pageBreakBefore w:val="0"/>
              <w:widowControl/>
              <w:kinsoku/>
              <w:wordWrap/>
              <w:overflowPunct w:val="0"/>
              <w:topLinePunct w:val="0"/>
              <w:autoSpaceDE/>
              <w:autoSpaceDN/>
              <w:bidi w:val="0"/>
              <w:adjustRightInd/>
              <w:snapToGrid/>
              <w:spacing w:line="320" w:lineRule="exact"/>
              <w:ind w:firstLine="0" w:firstLineChars="0"/>
              <w:jc w:val="center"/>
              <w:textAlignment w:val="center"/>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kern w:val="0"/>
                <w:sz w:val="22"/>
                <w:szCs w:val="22"/>
              </w:rPr>
              <w:t>号码</w:t>
            </w:r>
          </w:p>
        </w:tc>
        <w:tc>
          <w:tcPr>
            <w:tcW w:w="134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D03628E">
            <w:pPr>
              <w:keepNext w:val="0"/>
              <w:keepLines w:val="0"/>
              <w:pageBreakBefore w:val="0"/>
              <w:widowControl/>
              <w:kinsoku/>
              <w:wordWrap/>
              <w:overflowPunct w:val="0"/>
              <w:topLinePunct w:val="0"/>
              <w:autoSpaceDE/>
              <w:autoSpaceDN/>
              <w:bidi w:val="0"/>
              <w:adjustRightInd/>
              <w:snapToGrid/>
              <w:spacing w:line="320" w:lineRule="exact"/>
              <w:ind w:firstLine="440"/>
              <w:jc w:val="center"/>
              <w:textAlignment w:val="center"/>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kern w:val="0"/>
                <w:sz w:val="22"/>
                <w:szCs w:val="22"/>
              </w:rPr>
              <w:t>账户名</w:t>
            </w:r>
          </w:p>
        </w:tc>
        <w:tc>
          <w:tcPr>
            <w:tcW w:w="2839"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62AF65B0">
            <w:pPr>
              <w:keepNext w:val="0"/>
              <w:keepLines w:val="0"/>
              <w:pageBreakBefore w:val="0"/>
              <w:kinsoku/>
              <w:wordWrap/>
              <w:overflowPunct w:val="0"/>
              <w:topLinePunct w:val="0"/>
              <w:autoSpaceDE/>
              <w:autoSpaceDN/>
              <w:bidi w:val="0"/>
              <w:adjustRightInd/>
              <w:snapToGrid/>
              <w:spacing w:line="320" w:lineRule="exact"/>
              <w:ind w:firstLine="440"/>
              <w:jc w:val="center"/>
              <w:rPr>
                <w:rFonts w:hint="default" w:ascii="Times New Roman" w:hAnsi="Times New Roman" w:eastAsia="方正仿宋_GBK" w:cs="Times New Roman"/>
                <w:color w:val="000000"/>
                <w:sz w:val="22"/>
                <w:szCs w:val="22"/>
              </w:rPr>
            </w:pPr>
          </w:p>
        </w:tc>
      </w:tr>
      <w:tr w14:paraId="2748CA49">
        <w:tblPrEx>
          <w:tblCellMar>
            <w:top w:w="0" w:type="dxa"/>
            <w:left w:w="108" w:type="dxa"/>
            <w:bottom w:w="0" w:type="dxa"/>
            <w:right w:w="108" w:type="dxa"/>
          </w:tblCellMar>
        </w:tblPrEx>
        <w:trPr>
          <w:trHeight w:val="660" w:hRule="atLeast"/>
          <w:jc w:val="center"/>
        </w:trPr>
        <w:tc>
          <w:tcPr>
            <w:tcW w:w="813" w:type="pct"/>
            <w:vMerge w:val="continue"/>
            <w:tcBorders>
              <w:top w:val="single" w:color="000000" w:sz="4" w:space="0"/>
              <w:left w:val="single" w:color="000000" w:sz="4" w:space="0"/>
              <w:bottom w:val="nil"/>
              <w:right w:val="single" w:color="000000" w:sz="4" w:space="0"/>
            </w:tcBorders>
            <w:shd w:val="clear" w:color="auto" w:fill="auto"/>
            <w:vAlign w:val="center"/>
          </w:tcPr>
          <w:p w14:paraId="5F9EB3B8">
            <w:pPr>
              <w:keepNext w:val="0"/>
              <w:keepLines w:val="0"/>
              <w:pageBreakBefore w:val="0"/>
              <w:kinsoku/>
              <w:wordWrap/>
              <w:overflowPunct w:val="0"/>
              <w:topLinePunct w:val="0"/>
              <w:autoSpaceDE/>
              <w:autoSpaceDN/>
              <w:bidi w:val="0"/>
              <w:adjustRightInd/>
              <w:snapToGrid/>
              <w:spacing w:line="320" w:lineRule="exact"/>
              <w:ind w:firstLine="440"/>
              <w:jc w:val="center"/>
              <w:rPr>
                <w:rFonts w:hint="default" w:ascii="Times New Roman" w:hAnsi="Times New Roman" w:eastAsia="方正仿宋_GBK" w:cs="Times New Roman"/>
                <w:color w:val="000000"/>
                <w:sz w:val="22"/>
                <w:szCs w:val="22"/>
              </w:rPr>
            </w:pPr>
          </w:p>
        </w:tc>
        <w:tc>
          <w:tcPr>
            <w:tcW w:w="134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CEFB586">
            <w:pPr>
              <w:keepNext w:val="0"/>
              <w:keepLines w:val="0"/>
              <w:pageBreakBefore w:val="0"/>
              <w:widowControl/>
              <w:kinsoku/>
              <w:wordWrap/>
              <w:overflowPunct w:val="0"/>
              <w:topLinePunct w:val="0"/>
              <w:autoSpaceDE/>
              <w:autoSpaceDN/>
              <w:bidi w:val="0"/>
              <w:adjustRightInd/>
              <w:snapToGrid/>
              <w:spacing w:line="320" w:lineRule="exact"/>
              <w:ind w:firstLine="440"/>
              <w:jc w:val="center"/>
              <w:textAlignment w:val="center"/>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kern w:val="0"/>
                <w:sz w:val="22"/>
                <w:szCs w:val="22"/>
              </w:rPr>
              <w:t>账号</w:t>
            </w:r>
          </w:p>
        </w:tc>
        <w:tc>
          <w:tcPr>
            <w:tcW w:w="2839"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0AD3F302">
            <w:pPr>
              <w:keepNext w:val="0"/>
              <w:keepLines w:val="0"/>
              <w:pageBreakBefore w:val="0"/>
              <w:kinsoku/>
              <w:wordWrap/>
              <w:overflowPunct w:val="0"/>
              <w:topLinePunct w:val="0"/>
              <w:autoSpaceDE/>
              <w:autoSpaceDN/>
              <w:bidi w:val="0"/>
              <w:adjustRightInd/>
              <w:snapToGrid/>
              <w:spacing w:line="320" w:lineRule="exact"/>
              <w:ind w:firstLine="440"/>
              <w:jc w:val="center"/>
              <w:rPr>
                <w:rFonts w:hint="default" w:ascii="Times New Roman" w:hAnsi="Times New Roman" w:eastAsia="方正仿宋_GBK" w:cs="Times New Roman"/>
                <w:color w:val="000000"/>
                <w:sz w:val="22"/>
                <w:szCs w:val="22"/>
              </w:rPr>
            </w:pPr>
          </w:p>
        </w:tc>
      </w:tr>
      <w:tr w14:paraId="28FCDFAD">
        <w:tblPrEx>
          <w:tblCellMar>
            <w:top w:w="0" w:type="dxa"/>
            <w:left w:w="108" w:type="dxa"/>
            <w:bottom w:w="0" w:type="dxa"/>
            <w:right w:w="108" w:type="dxa"/>
          </w:tblCellMar>
        </w:tblPrEx>
        <w:trPr>
          <w:trHeight w:val="660" w:hRule="atLeast"/>
          <w:jc w:val="center"/>
        </w:trPr>
        <w:tc>
          <w:tcPr>
            <w:tcW w:w="813" w:type="pct"/>
            <w:vMerge w:val="continue"/>
            <w:tcBorders>
              <w:top w:val="single" w:color="000000" w:sz="4" w:space="0"/>
              <w:left w:val="single" w:color="000000" w:sz="4" w:space="0"/>
              <w:bottom w:val="nil"/>
              <w:right w:val="single" w:color="000000" w:sz="4" w:space="0"/>
            </w:tcBorders>
            <w:shd w:val="clear" w:color="auto" w:fill="auto"/>
            <w:vAlign w:val="center"/>
          </w:tcPr>
          <w:p w14:paraId="39275C8F">
            <w:pPr>
              <w:keepNext w:val="0"/>
              <w:keepLines w:val="0"/>
              <w:pageBreakBefore w:val="0"/>
              <w:kinsoku/>
              <w:wordWrap/>
              <w:overflowPunct w:val="0"/>
              <w:topLinePunct w:val="0"/>
              <w:autoSpaceDE/>
              <w:autoSpaceDN/>
              <w:bidi w:val="0"/>
              <w:adjustRightInd/>
              <w:snapToGrid/>
              <w:spacing w:line="320" w:lineRule="exact"/>
              <w:ind w:firstLine="440"/>
              <w:jc w:val="center"/>
              <w:rPr>
                <w:rFonts w:hint="default" w:ascii="Times New Roman" w:hAnsi="Times New Roman" w:eastAsia="方正仿宋_GBK" w:cs="Times New Roman"/>
                <w:color w:val="000000"/>
                <w:sz w:val="22"/>
                <w:szCs w:val="22"/>
              </w:rPr>
            </w:pPr>
          </w:p>
        </w:tc>
        <w:tc>
          <w:tcPr>
            <w:tcW w:w="134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BA9E1FA">
            <w:pPr>
              <w:keepNext w:val="0"/>
              <w:keepLines w:val="0"/>
              <w:pageBreakBefore w:val="0"/>
              <w:widowControl/>
              <w:kinsoku/>
              <w:wordWrap/>
              <w:overflowPunct w:val="0"/>
              <w:topLinePunct w:val="0"/>
              <w:autoSpaceDE/>
              <w:autoSpaceDN/>
              <w:bidi w:val="0"/>
              <w:adjustRightInd/>
              <w:snapToGrid/>
              <w:spacing w:line="320" w:lineRule="exact"/>
              <w:ind w:firstLine="440"/>
              <w:jc w:val="center"/>
              <w:textAlignment w:val="center"/>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kern w:val="0"/>
                <w:sz w:val="22"/>
                <w:szCs w:val="22"/>
              </w:rPr>
              <w:t>开户行</w:t>
            </w:r>
          </w:p>
        </w:tc>
        <w:tc>
          <w:tcPr>
            <w:tcW w:w="2839"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6E5DBA69">
            <w:pPr>
              <w:keepNext w:val="0"/>
              <w:keepLines w:val="0"/>
              <w:pageBreakBefore w:val="0"/>
              <w:kinsoku/>
              <w:wordWrap/>
              <w:overflowPunct w:val="0"/>
              <w:topLinePunct w:val="0"/>
              <w:autoSpaceDE/>
              <w:autoSpaceDN/>
              <w:bidi w:val="0"/>
              <w:adjustRightInd/>
              <w:snapToGrid/>
              <w:spacing w:line="320" w:lineRule="exact"/>
              <w:ind w:firstLine="440"/>
              <w:jc w:val="center"/>
              <w:rPr>
                <w:rFonts w:hint="default" w:ascii="Times New Roman" w:hAnsi="Times New Roman" w:eastAsia="方正仿宋_GBK" w:cs="Times New Roman"/>
                <w:color w:val="000000"/>
                <w:sz w:val="22"/>
                <w:szCs w:val="22"/>
              </w:rPr>
            </w:pPr>
          </w:p>
        </w:tc>
      </w:tr>
      <w:tr w14:paraId="32284850">
        <w:tblPrEx>
          <w:tblCellMar>
            <w:top w:w="0" w:type="dxa"/>
            <w:left w:w="108" w:type="dxa"/>
            <w:bottom w:w="0" w:type="dxa"/>
            <w:right w:w="108" w:type="dxa"/>
          </w:tblCellMar>
        </w:tblPrEx>
        <w:trPr>
          <w:trHeight w:val="800" w:hRule="atLeast"/>
          <w:jc w:val="center"/>
        </w:trPr>
        <w:tc>
          <w:tcPr>
            <w:tcW w:w="81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C93398">
            <w:pPr>
              <w:keepNext w:val="0"/>
              <w:keepLines w:val="0"/>
              <w:pageBreakBefore w:val="0"/>
              <w:widowControl/>
              <w:kinsoku/>
              <w:wordWrap/>
              <w:overflowPunct w:val="0"/>
              <w:topLinePunct w:val="0"/>
              <w:autoSpaceDE/>
              <w:autoSpaceDN/>
              <w:bidi w:val="0"/>
              <w:adjustRightInd/>
              <w:snapToGrid/>
              <w:spacing w:line="320" w:lineRule="exact"/>
              <w:ind w:firstLine="0" w:firstLineChars="0"/>
              <w:jc w:val="center"/>
              <w:textAlignment w:val="center"/>
              <w:rPr>
                <w:rFonts w:hint="default" w:ascii="Times New Roman" w:hAnsi="Times New Roman" w:eastAsia="方正仿宋_GBK" w:cs="Times New Roman"/>
                <w:color w:val="000000"/>
                <w:kern w:val="0"/>
                <w:sz w:val="22"/>
                <w:szCs w:val="22"/>
              </w:rPr>
            </w:pPr>
            <w:r>
              <w:rPr>
                <w:rFonts w:hint="default" w:ascii="Times New Roman" w:hAnsi="Times New Roman" w:eastAsia="方正仿宋_GBK" w:cs="Times New Roman"/>
                <w:color w:val="000000"/>
                <w:kern w:val="0"/>
                <w:sz w:val="22"/>
                <w:szCs w:val="22"/>
              </w:rPr>
              <w:t>奖励金额</w:t>
            </w:r>
          </w:p>
        </w:tc>
        <w:tc>
          <w:tcPr>
            <w:tcW w:w="6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00D0D6">
            <w:pPr>
              <w:keepNext w:val="0"/>
              <w:keepLines w:val="0"/>
              <w:pageBreakBefore w:val="0"/>
              <w:widowControl/>
              <w:kinsoku/>
              <w:wordWrap/>
              <w:overflowPunct w:val="0"/>
              <w:topLinePunct w:val="0"/>
              <w:autoSpaceDE/>
              <w:autoSpaceDN/>
              <w:bidi w:val="0"/>
              <w:adjustRightInd/>
              <w:snapToGrid/>
              <w:spacing w:line="320" w:lineRule="exact"/>
              <w:ind w:firstLine="0" w:firstLineChars="0"/>
              <w:jc w:val="center"/>
              <w:textAlignment w:val="center"/>
              <w:rPr>
                <w:rFonts w:hint="default" w:ascii="Times New Roman" w:hAnsi="Times New Roman" w:eastAsia="方正仿宋_GBK" w:cs="Times New Roman"/>
                <w:color w:val="000000"/>
                <w:kern w:val="0"/>
                <w:sz w:val="22"/>
                <w:szCs w:val="22"/>
                <w:lang w:val="en-US" w:eastAsia="zh-CN"/>
              </w:rPr>
            </w:pPr>
          </w:p>
        </w:tc>
        <w:tc>
          <w:tcPr>
            <w:tcW w:w="6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8ED79D">
            <w:pPr>
              <w:keepNext w:val="0"/>
              <w:keepLines w:val="0"/>
              <w:pageBreakBefore w:val="0"/>
              <w:widowControl/>
              <w:kinsoku/>
              <w:wordWrap/>
              <w:overflowPunct w:val="0"/>
              <w:topLinePunct w:val="0"/>
              <w:autoSpaceDE/>
              <w:autoSpaceDN/>
              <w:bidi w:val="0"/>
              <w:adjustRightInd/>
              <w:snapToGrid/>
              <w:spacing w:line="320" w:lineRule="exact"/>
              <w:ind w:firstLine="0" w:firstLineChars="0"/>
              <w:jc w:val="center"/>
              <w:textAlignment w:val="center"/>
              <w:rPr>
                <w:rFonts w:hint="default" w:ascii="Times New Roman" w:hAnsi="Times New Roman" w:eastAsia="方正仿宋_GBK" w:cs="Times New Roman"/>
                <w:color w:val="000000"/>
                <w:kern w:val="0"/>
                <w:sz w:val="22"/>
                <w:szCs w:val="22"/>
              </w:rPr>
            </w:pPr>
            <w:r>
              <w:rPr>
                <w:rFonts w:hint="default" w:ascii="Times New Roman" w:hAnsi="Times New Roman" w:eastAsia="方正仿宋_GBK" w:cs="Times New Roman"/>
                <w:color w:val="000000"/>
                <w:kern w:val="0"/>
                <w:sz w:val="22"/>
                <w:szCs w:val="22"/>
              </w:rPr>
              <w:t>大写</w:t>
            </w:r>
          </w:p>
        </w:tc>
        <w:tc>
          <w:tcPr>
            <w:tcW w:w="92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C501132">
            <w:pPr>
              <w:keepNext w:val="0"/>
              <w:keepLines w:val="0"/>
              <w:pageBreakBefore w:val="0"/>
              <w:widowControl/>
              <w:kinsoku/>
              <w:wordWrap/>
              <w:overflowPunct w:val="0"/>
              <w:topLinePunct w:val="0"/>
              <w:autoSpaceDE/>
              <w:autoSpaceDN/>
              <w:bidi w:val="0"/>
              <w:adjustRightInd/>
              <w:snapToGrid/>
              <w:spacing w:line="320" w:lineRule="exact"/>
              <w:ind w:firstLine="0" w:firstLineChars="0"/>
              <w:jc w:val="center"/>
              <w:textAlignment w:val="center"/>
              <w:rPr>
                <w:rFonts w:hint="default" w:ascii="Times New Roman" w:hAnsi="Times New Roman" w:eastAsia="方正仿宋_GBK" w:cs="Times New Roman"/>
                <w:color w:val="000000"/>
                <w:kern w:val="0"/>
                <w:sz w:val="22"/>
                <w:szCs w:val="22"/>
              </w:rPr>
            </w:pPr>
          </w:p>
        </w:tc>
        <w:tc>
          <w:tcPr>
            <w:tcW w:w="85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C07ACC5">
            <w:pPr>
              <w:keepNext w:val="0"/>
              <w:keepLines w:val="0"/>
              <w:pageBreakBefore w:val="0"/>
              <w:widowControl/>
              <w:kinsoku/>
              <w:wordWrap/>
              <w:overflowPunct w:val="0"/>
              <w:topLinePunct w:val="0"/>
              <w:autoSpaceDE/>
              <w:autoSpaceDN/>
              <w:bidi w:val="0"/>
              <w:adjustRightInd/>
              <w:snapToGrid/>
              <w:spacing w:line="320" w:lineRule="exact"/>
              <w:ind w:firstLine="0" w:firstLineChars="0"/>
              <w:jc w:val="center"/>
              <w:textAlignment w:val="center"/>
              <w:rPr>
                <w:rFonts w:hint="eastAsia" w:ascii="Times New Roman" w:hAnsi="Times New Roman" w:eastAsia="方正仿宋_GBK" w:cs="Times New Roman"/>
                <w:color w:val="000000"/>
                <w:kern w:val="0"/>
                <w:sz w:val="22"/>
                <w:szCs w:val="22"/>
                <w:lang w:eastAsia="zh-CN"/>
              </w:rPr>
            </w:pPr>
            <w:r>
              <w:rPr>
                <w:rFonts w:hint="default" w:ascii="Times New Roman" w:hAnsi="Times New Roman" w:eastAsia="方正仿宋_GBK" w:cs="Times New Roman"/>
                <w:color w:val="000000"/>
                <w:kern w:val="0"/>
                <w:sz w:val="22"/>
                <w:szCs w:val="22"/>
              </w:rPr>
              <w:t>接收资金人</w:t>
            </w:r>
            <w:r>
              <w:rPr>
                <w:rFonts w:hint="eastAsia" w:cs="Times New Roman"/>
                <w:color w:val="000000"/>
                <w:kern w:val="0"/>
                <w:sz w:val="22"/>
                <w:szCs w:val="22"/>
                <w:lang w:eastAsia="zh-CN"/>
              </w:rPr>
              <w:t>员</w:t>
            </w:r>
          </w:p>
        </w:tc>
        <w:tc>
          <w:tcPr>
            <w:tcW w:w="106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74BA503">
            <w:pPr>
              <w:keepNext w:val="0"/>
              <w:keepLines w:val="0"/>
              <w:pageBreakBefore w:val="0"/>
              <w:widowControl/>
              <w:kinsoku/>
              <w:wordWrap/>
              <w:overflowPunct w:val="0"/>
              <w:topLinePunct w:val="0"/>
              <w:autoSpaceDE/>
              <w:autoSpaceDN/>
              <w:bidi w:val="0"/>
              <w:adjustRightInd/>
              <w:snapToGrid/>
              <w:spacing w:line="320" w:lineRule="exact"/>
              <w:ind w:firstLine="0" w:firstLineChars="0"/>
              <w:jc w:val="center"/>
              <w:textAlignment w:val="center"/>
              <w:rPr>
                <w:rFonts w:hint="default" w:ascii="Times New Roman" w:hAnsi="Times New Roman" w:eastAsia="方正仿宋_GBK" w:cs="Times New Roman"/>
                <w:color w:val="000000"/>
                <w:kern w:val="0"/>
                <w:sz w:val="22"/>
                <w:szCs w:val="22"/>
              </w:rPr>
            </w:pPr>
          </w:p>
        </w:tc>
      </w:tr>
      <w:tr w14:paraId="6B3F78CC">
        <w:tblPrEx>
          <w:tblCellMar>
            <w:top w:w="0" w:type="dxa"/>
            <w:left w:w="108" w:type="dxa"/>
            <w:bottom w:w="0" w:type="dxa"/>
            <w:right w:w="108" w:type="dxa"/>
          </w:tblCellMar>
        </w:tblPrEx>
        <w:trPr>
          <w:trHeight w:val="2346" w:hRule="atLeast"/>
          <w:jc w:val="center"/>
        </w:trPr>
        <w:tc>
          <w:tcPr>
            <w:tcW w:w="5000" w:type="pct"/>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4829F63E">
            <w:pPr>
              <w:keepNext w:val="0"/>
              <w:keepLines w:val="0"/>
              <w:pageBreakBefore w:val="0"/>
              <w:widowControl/>
              <w:kinsoku/>
              <w:wordWrap/>
              <w:overflowPunct w:val="0"/>
              <w:topLinePunct w:val="0"/>
              <w:autoSpaceDE/>
              <w:autoSpaceDN/>
              <w:bidi w:val="0"/>
              <w:adjustRightInd/>
              <w:snapToGrid/>
              <w:spacing w:line="320" w:lineRule="exact"/>
              <w:ind w:firstLine="0" w:firstLineChars="0"/>
              <w:jc w:val="left"/>
              <w:textAlignment w:val="top"/>
              <w:rPr>
                <w:rStyle w:val="12"/>
                <w:rFonts w:hint="default" w:ascii="Times New Roman" w:hAnsi="Times New Roman" w:eastAsia="方正仿宋_GBK" w:cs="Times New Roman"/>
              </w:rPr>
            </w:pPr>
            <w:r>
              <w:rPr>
                <w:rFonts w:hint="default" w:ascii="Times New Roman" w:hAnsi="Times New Roman" w:eastAsia="方正仿宋_GBK" w:cs="Times New Roman"/>
                <w:b/>
                <w:bCs/>
                <w:color w:val="000000"/>
                <w:kern w:val="0"/>
                <w:sz w:val="22"/>
                <w:szCs w:val="22"/>
              </w:rPr>
              <w:t>本人承诺所提供信息、资料、身份证等所有材料均真实有效，如有虚假，愿承担一切法律责任。本人</w:t>
            </w:r>
            <w:r>
              <w:rPr>
                <w:rFonts w:hint="eastAsia" w:cs="Times New Roman"/>
                <w:b/>
                <w:bCs/>
                <w:color w:val="000000"/>
                <w:kern w:val="0"/>
                <w:sz w:val="22"/>
                <w:szCs w:val="22"/>
                <w:lang w:eastAsia="zh-CN"/>
              </w:rPr>
              <w:t>承诺自愿选择生态安葬。</w:t>
            </w:r>
            <w:r>
              <w:rPr>
                <w:rStyle w:val="12"/>
                <w:rFonts w:hint="default" w:ascii="Times New Roman" w:hAnsi="Times New Roman" w:eastAsia="方正仿宋_GBK" w:cs="Times New Roman"/>
              </w:rPr>
              <w:br w:type="textWrapping"/>
            </w:r>
          </w:p>
          <w:p w14:paraId="51B9DE85">
            <w:pPr>
              <w:keepNext w:val="0"/>
              <w:keepLines w:val="0"/>
              <w:pageBreakBefore w:val="0"/>
              <w:widowControl/>
              <w:kinsoku/>
              <w:wordWrap/>
              <w:overflowPunct w:val="0"/>
              <w:topLinePunct w:val="0"/>
              <w:autoSpaceDE/>
              <w:autoSpaceDN/>
              <w:bidi w:val="0"/>
              <w:adjustRightInd/>
              <w:snapToGrid/>
              <w:spacing w:line="320" w:lineRule="exact"/>
              <w:ind w:firstLine="0" w:firstLineChars="0"/>
              <w:jc w:val="left"/>
              <w:textAlignment w:val="top"/>
              <w:rPr>
                <w:rStyle w:val="13"/>
                <w:rFonts w:hint="default" w:ascii="Times New Roman" w:hAnsi="Times New Roman" w:eastAsia="方正仿宋_GBK" w:cs="Times New Roman"/>
              </w:rPr>
            </w:pPr>
            <w:r>
              <w:rPr>
                <w:rStyle w:val="12"/>
                <w:rFonts w:hint="default" w:ascii="Times New Roman" w:hAnsi="Times New Roman" w:eastAsia="方正仿宋_GBK" w:cs="Times New Roman"/>
              </w:rPr>
              <w:br w:type="textWrapping"/>
            </w:r>
            <w:r>
              <w:rPr>
                <w:rFonts w:hint="default" w:ascii="Times New Roman" w:hAnsi="Times New Roman" w:eastAsia="方正仿宋_GBK" w:cs="Times New Roman"/>
                <w:b/>
                <w:bCs/>
                <w:color w:val="000000"/>
                <w:kern w:val="0"/>
                <w:sz w:val="22"/>
                <w:szCs w:val="22"/>
              </w:rPr>
              <w:t>（申请人手写抄录上述加粗字体内容）</w:t>
            </w:r>
          </w:p>
          <w:p w14:paraId="3FF72093">
            <w:pPr>
              <w:keepNext w:val="0"/>
              <w:keepLines w:val="0"/>
              <w:pageBreakBefore w:val="0"/>
              <w:widowControl/>
              <w:kinsoku/>
              <w:wordWrap/>
              <w:overflowPunct w:val="0"/>
              <w:topLinePunct w:val="0"/>
              <w:autoSpaceDE/>
              <w:autoSpaceDN/>
              <w:bidi w:val="0"/>
              <w:adjustRightInd/>
              <w:snapToGrid/>
              <w:spacing w:line="320" w:lineRule="exact"/>
              <w:ind w:firstLine="0" w:firstLineChars="0"/>
              <w:jc w:val="center"/>
              <w:textAlignment w:val="center"/>
              <w:rPr>
                <w:rFonts w:hint="default" w:ascii="Times New Roman" w:hAnsi="Times New Roman" w:eastAsia="方正仿宋_GBK" w:cs="Times New Roman"/>
                <w:color w:val="000000"/>
                <w:kern w:val="0"/>
                <w:sz w:val="22"/>
                <w:szCs w:val="22"/>
              </w:rPr>
            </w:pPr>
            <w:r>
              <w:rPr>
                <w:rFonts w:hint="default" w:ascii="Times New Roman" w:hAnsi="Times New Roman" w:eastAsia="方正仿宋_GBK" w:cs="Times New Roman"/>
                <w:b/>
                <w:bCs/>
                <w:color w:val="000000"/>
                <w:kern w:val="0"/>
                <w:sz w:val="22"/>
                <w:szCs w:val="22"/>
              </w:rPr>
              <w:t xml:space="preserve">             承诺人 :                                    年        月       日</w:t>
            </w:r>
          </w:p>
        </w:tc>
      </w:tr>
      <w:tr w14:paraId="4D602B50">
        <w:tblPrEx>
          <w:tblCellMar>
            <w:top w:w="0" w:type="dxa"/>
            <w:left w:w="108" w:type="dxa"/>
            <w:bottom w:w="0" w:type="dxa"/>
            <w:right w:w="108" w:type="dxa"/>
          </w:tblCellMar>
        </w:tblPrEx>
        <w:trPr>
          <w:trHeight w:val="1463" w:hRule="atLeast"/>
          <w:jc w:val="center"/>
        </w:trPr>
        <w:tc>
          <w:tcPr>
            <w:tcW w:w="1480" w:type="pct"/>
            <w:gridSpan w:val="2"/>
            <w:tcBorders>
              <w:top w:val="nil"/>
              <w:left w:val="single" w:color="000000" w:sz="4" w:space="0"/>
              <w:bottom w:val="single" w:color="000000" w:sz="4" w:space="0"/>
              <w:right w:val="single" w:color="000000" w:sz="4" w:space="0"/>
            </w:tcBorders>
            <w:shd w:val="clear" w:color="auto" w:fill="auto"/>
            <w:vAlign w:val="center"/>
          </w:tcPr>
          <w:p w14:paraId="612DA98C">
            <w:pPr>
              <w:keepNext w:val="0"/>
              <w:keepLines w:val="0"/>
              <w:pageBreakBefore w:val="0"/>
              <w:widowControl/>
              <w:kinsoku/>
              <w:wordWrap/>
              <w:overflowPunct w:val="0"/>
              <w:topLinePunct w:val="0"/>
              <w:autoSpaceDE/>
              <w:autoSpaceDN/>
              <w:bidi w:val="0"/>
              <w:adjustRightInd/>
              <w:snapToGrid/>
              <w:spacing w:line="320" w:lineRule="exact"/>
              <w:ind w:firstLine="0" w:firstLineChars="0"/>
              <w:jc w:val="center"/>
              <w:textAlignment w:val="center"/>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kern w:val="0"/>
                <w:sz w:val="22"/>
                <w:szCs w:val="22"/>
              </w:rPr>
              <w:t>殡葬服务机构意见</w:t>
            </w:r>
          </w:p>
        </w:tc>
        <w:tc>
          <w:tcPr>
            <w:tcW w:w="3519" w:type="pct"/>
            <w:gridSpan w:val="7"/>
            <w:tcBorders>
              <w:top w:val="nil"/>
              <w:left w:val="single" w:color="000000" w:sz="4" w:space="0"/>
              <w:bottom w:val="single" w:color="000000" w:sz="4" w:space="0"/>
              <w:right w:val="single" w:color="000000" w:sz="4" w:space="0"/>
            </w:tcBorders>
            <w:shd w:val="clear" w:color="auto" w:fill="auto"/>
            <w:vAlign w:val="center"/>
          </w:tcPr>
          <w:p w14:paraId="50A99FC3">
            <w:pPr>
              <w:keepNext w:val="0"/>
              <w:keepLines w:val="0"/>
              <w:pageBreakBefore w:val="0"/>
              <w:widowControl/>
              <w:kinsoku/>
              <w:wordWrap/>
              <w:overflowPunct w:val="0"/>
              <w:topLinePunct w:val="0"/>
              <w:autoSpaceDE/>
              <w:autoSpaceDN/>
              <w:bidi w:val="0"/>
              <w:adjustRightInd/>
              <w:snapToGrid/>
              <w:spacing w:line="320" w:lineRule="exact"/>
              <w:ind w:firstLine="440"/>
              <w:jc w:val="center"/>
              <w:textAlignment w:val="bottom"/>
              <w:rPr>
                <w:rFonts w:hint="default" w:ascii="Times New Roman" w:hAnsi="Times New Roman" w:eastAsia="方正仿宋_GBK" w:cs="Times New Roman"/>
                <w:color w:val="000000"/>
                <w:kern w:val="0"/>
                <w:sz w:val="22"/>
                <w:szCs w:val="22"/>
              </w:rPr>
            </w:pPr>
          </w:p>
          <w:p w14:paraId="797AAB06">
            <w:pPr>
              <w:keepNext w:val="0"/>
              <w:keepLines w:val="0"/>
              <w:pageBreakBefore w:val="0"/>
              <w:widowControl/>
              <w:kinsoku/>
              <w:wordWrap/>
              <w:overflowPunct w:val="0"/>
              <w:topLinePunct w:val="0"/>
              <w:autoSpaceDE/>
              <w:autoSpaceDN/>
              <w:bidi w:val="0"/>
              <w:adjustRightInd/>
              <w:snapToGrid/>
              <w:spacing w:line="320" w:lineRule="exact"/>
              <w:ind w:firstLine="440"/>
              <w:jc w:val="center"/>
              <w:textAlignment w:val="bottom"/>
              <w:rPr>
                <w:rFonts w:hint="default" w:ascii="Times New Roman" w:hAnsi="Times New Roman" w:eastAsia="方正仿宋_GBK" w:cs="Times New Roman"/>
                <w:color w:val="000000"/>
                <w:kern w:val="0"/>
                <w:sz w:val="22"/>
                <w:szCs w:val="22"/>
              </w:rPr>
            </w:pPr>
          </w:p>
          <w:p w14:paraId="6A993EB5">
            <w:pPr>
              <w:keepNext w:val="0"/>
              <w:keepLines w:val="0"/>
              <w:pageBreakBefore w:val="0"/>
              <w:widowControl/>
              <w:kinsoku/>
              <w:wordWrap/>
              <w:overflowPunct w:val="0"/>
              <w:topLinePunct w:val="0"/>
              <w:autoSpaceDE/>
              <w:autoSpaceDN/>
              <w:bidi w:val="0"/>
              <w:adjustRightInd/>
              <w:snapToGrid/>
              <w:spacing w:line="320" w:lineRule="exact"/>
              <w:ind w:firstLine="440"/>
              <w:jc w:val="center"/>
              <w:textAlignment w:val="bottom"/>
              <w:rPr>
                <w:rFonts w:hint="default" w:ascii="Times New Roman" w:hAnsi="Times New Roman" w:eastAsia="方正仿宋_GBK" w:cs="Times New Roman"/>
                <w:color w:val="000000"/>
                <w:kern w:val="0"/>
                <w:sz w:val="22"/>
                <w:szCs w:val="22"/>
              </w:rPr>
            </w:pPr>
          </w:p>
          <w:p w14:paraId="334CB659">
            <w:pPr>
              <w:keepNext w:val="0"/>
              <w:keepLines w:val="0"/>
              <w:pageBreakBefore w:val="0"/>
              <w:widowControl/>
              <w:kinsoku/>
              <w:wordWrap/>
              <w:overflowPunct w:val="0"/>
              <w:topLinePunct w:val="0"/>
              <w:autoSpaceDE/>
              <w:autoSpaceDN/>
              <w:bidi w:val="0"/>
              <w:adjustRightInd/>
              <w:snapToGrid/>
              <w:spacing w:line="320" w:lineRule="exact"/>
              <w:ind w:firstLine="440"/>
              <w:jc w:val="center"/>
              <w:textAlignment w:val="bottom"/>
              <w:rPr>
                <w:rFonts w:hint="default" w:ascii="Times New Roman" w:hAnsi="Times New Roman" w:eastAsia="方正仿宋_GBK" w:cs="Times New Roman"/>
                <w:color w:val="000000"/>
                <w:sz w:val="22"/>
                <w:szCs w:val="22"/>
              </w:rPr>
            </w:pPr>
            <w:r>
              <w:rPr>
                <w:rFonts w:hint="default" w:ascii="Times New Roman" w:hAnsi="Times New Roman" w:eastAsia="方正仿宋_GBK" w:cs="Times New Roman"/>
                <w:color w:val="000000"/>
                <w:kern w:val="0"/>
                <w:sz w:val="22"/>
                <w:szCs w:val="22"/>
              </w:rPr>
              <w:t xml:space="preserve">                    </w:t>
            </w:r>
            <w:r>
              <w:rPr>
                <w:rFonts w:hint="eastAsia" w:cs="Times New Roman"/>
                <w:color w:val="000000"/>
                <w:kern w:val="0"/>
                <w:sz w:val="22"/>
                <w:szCs w:val="22"/>
                <w:lang w:val="en-US" w:eastAsia="zh-CN"/>
              </w:rPr>
              <w:t xml:space="preserve">     </w:t>
            </w:r>
            <w:r>
              <w:rPr>
                <w:rFonts w:hint="default" w:ascii="Times New Roman" w:hAnsi="Times New Roman" w:eastAsia="方正仿宋_GBK" w:cs="Times New Roman"/>
                <w:color w:val="000000"/>
                <w:kern w:val="0"/>
                <w:sz w:val="22"/>
                <w:szCs w:val="22"/>
              </w:rPr>
              <w:t xml:space="preserve">     年     月     日                                                                                                                         </w:t>
            </w:r>
          </w:p>
        </w:tc>
      </w:tr>
    </w:tbl>
    <w:p w14:paraId="6B39AC23">
      <w:pPr>
        <w:keepNext w:val="0"/>
        <w:keepLines w:val="0"/>
        <w:pageBreakBefore w:val="0"/>
        <w:widowControl w:val="0"/>
        <w:kinsoku/>
        <w:wordWrap/>
        <w:overflowPunct w:val="0"/>
        <w:topLinePunct w:val="0"/>
        <w:autoSpaceDE/>
        <w:autoSpaceDN/>
        <w:bidi w:val="0"/>
        <w:adjustRightInd/>
        <w:snapToGrid/>
        <w:spacing w:line="20" w:lineRule="exact"/>
        <w:textAlignment w:val="auto"/>
      </w:pPr>
    </w:p>
    <w:sectPr>
      <w:footerReference r:id="rId5" w:type="default"/>
      <w:pgSz w:w="11906" w:h="16838"/>
      <w:pgMar w:top="1984" w:right="1531" w:bottom="1417" w:left="1531" w:header="851" w:footer="1417" w:gutter="0"/>
      <w:pgNumType w:start="1"/>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Times New Roman"/>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Cambria">
    <w:altName w:val="Noto Sans Syriac Eastern"/>
    <w:panose1 w:val="02040503050406030204"/>
    <w:charset w:val="00"/>
    <w:family w:val="roman"/>
    <w:pitch w:val="default"/>
    <w:sig w:usb0="00000000" w:usb1="00000000" w:usb2="00000000" w:usb3="00000000" w:csb0="2000019F" w:csb1="00000000"/>
  </w:font>
  <w:font w:name="Noto Sans Syriac Eastern">
    <w:panose1 w:val="02040503050306020203"/>
    <w:charset w:val="86"/>
    <w:family w:val="auto"/>
    <w:pitch w:val="default"/>
    <w:sig w:usb0="00000000" w:usb1="00000000" w:usb2="00000080" w:usb3="00000000" w:csb0="203E0161" w:csb1="D7FF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微软雅黑">
    <w:altName w:val="方正黑体_GBK"/>
    <w:panose1 w:val="00000000000000000000"/>
    <w:charset w:val="00"/>
    <w:family w:val="auto"/>
    <w:pitch w:val="default"/>
    <w:sig w:usb0="00000000" w:usb1="00000000" w:usb2="00000000" w:usb3="00000000" w:csb0="00000000" w:csb1="00000000"/>
  </w:font>
  <w:font w:name="Tahoma">
    <w:altName w:val="noto sans thai"/>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143FF2">
    <w:pPr>
      <w:pStyle w:val="5"/>
      <w:tabs>
        <w:tab w:val="left" w:pos="5814"/>
      </w:tabs>
      <w:ind w:firstLine="480"/>
      <w:rPr>
        <w:sz w:val="24"/>
        <w:szCs w:val="22"/>
      </w:rPr>
    </w:pPr>
    <w:r>
      <w:rPr>
        <w:sz w:val="24"/>
      </w:rPr>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path/>
          <v:fill on="f" focussize="0,0"/>
          <v:stroke on="f" weight="0.5pt" joinstyle="miter"/>
          <v:imagedata o:title=""/>
          <o:lock v:ext="edit"/>
          <v:textbox inset="0mm,0mm,0mm,0mm" style="mso-fit-shape-to-text:t;">
            <w:txbxContent>
              <w:p w14:paraId="3DB4D7D7">
                <w:pPr>
                  <w:pStyle w:val="5"/>
                  <w:ind w:left="320" w:leftChars="100" w:right="320" w:rightChars="100" w:firstLine="0" w:firstLineChars="0"/>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v:textbox>
        </v:shape>
      </w:pict>
    </w:r>
    <w:r>
      <w:rPr>
        <w:rFonts w:hint="eastAsia"/>
        <w:sz w:val="24"/>
        <w:szCs w:val="22"/>
      </w:rPr>
      <w:tab/>
    </w:r>
    <w:r>
      <w:rPr>
        <w:rFonts w:hint="eastAsia"/>
        <w:sz w:val="24"/>
        <w:szCs w:val="22"/>
      </w:rPr>
      <w:tab/>
    </w:r>
    <w:r>
      <w:rPr>
        <w:rFonts w:hint="eastAsia"/>
        <w:sz w:val="24"/>
        <w:szCs w:val="22"/>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A8AFE48"/>
    <w:multiLevelType w:val="singleLevel"/>
    <w:tmpl w:val="2A8AFE48"/>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10D318DD"/>
    <w:rsid w:val="00023121"/>
    <w:rsid w:val="003A3303"/>
    <w:rsid w:val="00835DA5"/>
    <w:rsid w:val="00B87E84"/>
    <w:rsid w:val="01EA577A"/>
    <w:rsid w:val="03DF11AC"/>
    <w:rsid w:val="06D41F78"/>
    <w:rsid w:val="06D5735A"/>
    <w:rsid w:val="08086AC1"/>
    <w:rsid w:val="0FAF57EF"/>
    <w:rsid w:val="10D318DD"/>
    <w:rsid w:val="146A5814"/>
    <w:rsid w:val="1E766844"/>
    <w:rsid w:val="22D04600"/>
    <w:rsid w:val="26A646AE"/>
    <w:rsid w:val="27243C45"/>
    <w:rsid w:val="27B508B2"/>
    <w:rsid w:val="33FD7C95"/>
    <w:rsid w:val="38F820EE"/>
    <w:rsid w:val="3916175E"/>
    <w:rsid w:val="39EB26A4"/>
    <w:rsid w:val="3A98695A"/>
    <w:rsid w:val="3EEE68A2"/>
    <w:rsid w:val="3FC67D94"/>
    <w:rsid w:val="40625583"/>
    <w:rsid w:val="43010332"/>
    <w:rsid w:val="46330914"/>
    <w:rsid w:val="51C70B0E"/>
    <w:rsid w:val="58CA1A73"/>
    <w:rsid w:val="5AF55CEC"/>
    <w:rsid w:val="5BFE6395"/>
    <w:rsid w:val="5EFE00A7"/>
    <w:rsid w:val="61754692"/>
    <w:rsid w:val="61AE27BE"/>
    <w:rsid w:val="61D22934"/>
    <w:rsid w:val="656A0A3D"/>
    <w:rsid w:val="669A50F1"/>
    <w:rsid w:val="67837A8A"/>
    <w:rsid w:val="68142C42"/>
    <w:rsid w:val="6BDBA059"/>
    <w:rsid w:val="6F8704D8"/>
    <w:rsid w:val="73E629AD"/>
    <w:rsid w:val="75AF3465"/>
    <w:rsid w:val="75BEB003"/>
    <w:rsid w:val="7D4B32F2"/>
    <w:rsid w:val="7FADAE8D"/>
    <w:rsid w:val="7FE01204"/>
    <w:rsid w:val="9FFF8DCD"/>
    <w:rsid w:val="B65F1021"/>
    <w:rsid w:val="B9EFC6E6"/>
    <w:rsid w:val="DABBA150"/>
    <w:rsid w:val="DBDC8980"/>
    <w:rsid w:val="E5C8D7FD"/>
    <w:rsid w:val="E7FBC76E"/>
    <w:rsid w:val="EBAF97A5"/>
    <w:rsid w:val="EBFF0C32"/>
    <w:rsid w:val="F75DB7AE"/>
    <w:rsid w:val="FBF9003F"/>
    <w:rsid w:val="FDF717B0"/>
    <w:rsid w:val="FF3EDFE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overflowPunct w:val="0"/>
      <w:spacing w:line="578" w:lineRule="exact"/>
      <w:ind w:firstLine="640" w:firstLineChars="200"/>
      <w:jc w:val="both"/>
    </w:pPr>
    <w:rPr>
      <w:rFonts w:ascii="Times New Roman" w:hAnsi="Times New Roman" w:eastAsia="方正仿宋_GBK" w:cs="Times New Roman"/>
      <w:kern w:val="2"/>
      <w:sz w:val="32"/>
      <w:szCs w:val="32"/>
      <w:lang w:val="en-US" w:eastAsia="zh-CN" w:bidi="ar-SA"/>
    </w:rPr>
  </w:style>
  <w:style w:type="paragraph" w:styleId="2">
    <w:name w:val="heading 1"/>
    <w:basedOn w:val="1"/>
    <w:next w:val="1"/>
    <w:link w:val="14"/>
    <w:qFormat/>
    <w:uiPriority w:val="0"/>
    <w:pPr>
      <w:ind w:firstLine="0" w:firstLineChars="0"/>
      <w:jc w:val="center"/>
      <w:outlineLvl w:val="0"/>
    </w:pPr>
    <w:rPr>
      <w:rFonts w:eastAsia="方正小标宋_GBK"/>
      <w:bCs/>
      <w:sz w:val="44"/>
      <w:lang w:val="zh-CN" w:bidi="zh-CN"/>
    </w:rPr>
  </w:style>
  <w:style w:type="paragraph" w:styleId="3">
    <w:name w:val="heading 2"/>
    <w:basedOn w:val="1"/>
    <w:next w:val="1"/>
    <w:unhideWhenUsed/>
    <w:qFormat/>
    <w:uiPriority w:val="0"/>
    <w:pPr>
      <w:keepNext/>
      <w:keepLines/>
      <w:ind w:firstLine="880"/>
      <w:outlineLvl w:val="1"/>
    </w:pPr>
    <w:rPr>
      <w:rFonts w:ascii="Cambria" w:hAnsi="Cambria" w:eastAsia="方正黑体_GBK"/>
      <w:bCs/>
    </w:rPr>
  </w:style>
  <w:style w:type="paragraph" w:styleId="4">
    <w:name w:val="heading 3"/>
    <w:basedOn w:val="1"/>
    <w:next w:val="1"/>
    <w:link w:val="10"/>
    <w:unhideWhenUsed/>
    <w:qFormat/>
    <w:uiPriority w:val="0"/>
    <w:pPr>
      <w:tabs>
        <w:tab w:val="right" w:leader="middleDot" w:pos="8715"/>
      </w:tabs>
      <w:ind w:firstLine="1040"/>
      <w:outlineLvl w:val="2"/>
    </w:pPr>
    <w:rPr>
      <w:rFonts w:eastAsia="方正楷体_GBK"/>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5">
    <w:name w:val="footer"/>
    <w:basedOn w:val="1"/>
    <w:next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pPr>
    <w:rPr>
      <w:sz w:val="18"/>
    </w:rPr>
  </w:style>
  <w:style w:type="paragraph" w:styleId="7">
    <w:name w:val="Normal (Web)"/>
    <w:basedOn w:val="1"/>
    <w:qFormat/>
    <w:uiPriority w:val="0"/>
    <w:rPr>
      <w:sz w:val="24"/>
    </w:rPr>
  </w:style>
  <w:style w:type="character" w:customStyle="1" w:styleId="10">
    <w:name w:val="标题 3 Char"/>
    <w:link w:val="4"/>
    <w:qFormat/>
    <w:uiPriority w:val="0"/>
    <w:rPr>
      <w:rFonts w:ascii="Times New Roman" w:hAnsi="Times New Roman" w:eastAsia="方正楷体_GBK"/>
    </w:rPr>
  </w:style>
  <w:style w:type="character" w:customStyle="1" w:styleId="11">
    <w:name w:val="font41"/>
    <w:basedOn w:val="9"/>
    <w:qFormat/>
    <w:uiPriority w:val="0"/>
    <w:rPr>
      <w:rFonts w:hint="eastAsia" w:ascii="宋体" w:hAnsi="宋体" w:eastAsia="宋体" w:cs="宋体"/>
      <w:bCs/>
      <w:color w:val="000000"/>
      <w:sz w:val="24"/>
      <w:szCs w:val="24"/>
      <w:u w:val="none"/>
    </w:rPr>
  </w:style>
  <w:style w:type="character" w:customStyle="1" w:styleId="12">
    <w:name w:val="font31"/>
    <w:basedOn w:val="9"/>
    <w:qFormat/>
    <w:uiPriority w:val="0"/>
    <w:rPr>
      <w:rFonts w:hint="eastAsia" w:ascii="宋体" w:hAnsi="宋体" w:eastAsia="宋体" w:cs="宋体"/>
      <w:color w:val="000000"/>
      <w:sz w:val="24"/>
      <w:szCs w:val="24"/>
      <w:u w:val="single"/>
    </w:rPr>
  </w:style>
  <w:style w:type="character" w:customStyle="1" w:styleId="13">
    <w:name w:val="font11"/>
    <w:basedOn w:val="9"/>
    <w:qFormat/>
    <w:uiPriority w:val="0"/>
    <w:rPr>
      <w:rFonts w:hint="eastAsia" w:ascii="宋体" w:hAnsi="宋体" w:eastAsia="宋体" w:cs="宋体"/>
      <w:color w:val="000000"/>
      <w:sz w:val="24"/>
      <w:szCs w:val="24"/>
      <w:u w:val="none"/>
    </w:rPr>
  </w:style>
  <w:style w:type="character" w:customStyle="1" w:styleId="14">
    <w:name w:val="标题 1 Char"/>
    <w:link w:val="2"/>
    <w:qFormat/>
    <w:uiPriority w:val="0"/>
    <w:rPr>
      <w:rFonts w:eastAsia="方正小标宋_GBK"/>
      <w:bCs/>
      <w:sz w:val="44"/>
      <w:lang w:val="zh-CN" w:bidi="zh-C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6</Pages>
  <Words>1746</Words>
  <Characters>1772</Characters>
  <Lines>14</Lines>
  <Paragraphs>4</Paragraphs>
  <TotalTime>15</TotalTime>
  <ScaleCrop>false</ScaleCrop>
  <LinksUpToDate>false</LinksUpToDate>
  <CharactersWithSpaces>2027</CharactersWithSpaces>
  <Application>WPS Office_12.8.2.1119_F1E327BC-269C-435d-A152-05C5408002CA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2025-01-13T01:01:00Z</dcterms:created>
  <dc:creator>Administrator</dc:creator>
  <cp:lastModifiedBy>inspur</cp:lastModifiedBy>
  <cp:lastPrinted>2025-05-13T02:15:00Z</cp:lastPrinted>
  <dcterms:modified xsi:type="dcterms:W3CDTF">2025-05-20T15:33:12Z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2052-12.8.2.1119</vt:lpwstr>
  </property>
  <property fmtid="{D5CDD505-2E9C-101B-9397-08002B2CF9AE}" pid="3" name="ICV">
    <vt:lpwstr>F25C0EC51D2146EB92BB4D150812BDC0</vt:lpwstr>
  </property>
  <property fmtid="{D5CDD505-2E9C-101B-9397-08002B2CF9AE}" pid="4" name="KSOTemplateDocerSaveRecord">
    <vt:lpwstr>eyJoZGlkIjoiYTgwMjc4NTk1ZGM0ZDI4NTAxNDlmMDkwZmEzN2ZmOWUiLCJ1c2VySWQiOiI0MzU5NzA3NDYifQ==</vt:lpwstr>
  </property>
</Properties>
</file>