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《鄂州市低保边缘家庭认定办法（征求意见稿）》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为进一步健全分层分类的社会救助体系、巩固拓展脱贫攻坚成果同乡村振兴有效衔接，</w:t>
      </w:r>
      <w:bookmarkStart w:id="0" w:name="_GoBack"/>
      <w:bookmarkEnd w:id="0"/>
      <w:r>
        <w:rPr>
          <w:rFonts w:hint="eastAsia" w:eastAsia="仿宋" w:cs="仿宋"/>
          <w:sz w:val="32"/>
          <w:szCs w:val="32"/>
          <w:lang w:val="en-US" w:eastAsia="zh-CN"/>
        </w:rPr>
        <w:t>民政部门起草了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《鄂州市低保边缘家庭认定办法（征求意见稿）》</w:t>
      </w:r>
      <w:r>
        <w:rPr>
          <w:rFonts w:hint="eastAsia" w:eastAsia="仿宋" w:cs="仿宋"/>
          <w:sz w:val="32"/>
          <w:szCs w:val="32"/>
          <w:lang w:val="en-US" w:eastAsia="zh-CN"/>
        </w:rPr>
        <w:t>（以下简称《认定办法》），现将有关情况说明如下：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CESI宋体-GB2312" w:hAnsi="CESI宋体-GB2312" w:eastAsia="方正黑体_GBK" w:cs="宋体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CESI宋体-GB2312" w:hAnsi="CESI宋体-GB2312" w:eastAsia="方正黑体_GBK" w:cs="宋体"/>
          <w:b w:val="0"/>
          <w:bCs w:val="0"/>
          <w:kern w:val="0"/>
          <w:sz w:val="32"/>
          <w:szCs w:val="32"/>
        </w:rPr>
        <w:t>一、</w:t>
      </w:r>
      <w:r>
        <w:rPr>
          <w:rStyle w:val="5"/>
          <w:rFonts w:hint="eastAsia" w:ascii="CESI宋体-GB2312" w:hAnsi="CESI宋体-GB2312" w:eastAsia="方正黑体_GBK" w:cs="宋体"/>
          <w:b w:val="0"/>
          <w:bCs w:val="0"/>
          <w:kern w:val="0"/>
          <w:sz w:val="32"/>
          <w:szCs w:val="32"/>
          <w:lang w:eastAsia="zh-CN"/>
        </w:rPr>
        <w:t>出台</w:t>
      </w:r>
      <w:r>
        <w:rPr>
          <w:rStyle w:val="5"/>
          <w:rFonts w:hint="eastAsia" w:ascii="CESI宋体-GB2312" w:hAnsi="CESI宋体-GB2312" w:eastAsia="方正黑体_GBK" w:cs="宋体"/>
          <w:b w:val="0"/>
          <w:bCs w:val="0"/>
          <w:kern w:val="0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《社会救助暂行办法》（国务院令第649号）、《中共中央办公厅 国务院办公厅印发〈关于改革完善社会救助制度的意见〉的通知》（中办发〔2020〕18号）、《国务院办公厅转发民政部等单位〈关于加强低收入人口动态监测做好分层分类社会救助工作的意见〉的通知》（国办发〔2023〕39号），省民政厅《湖北省最低生活保障审核确认实施办法》（鄂民政发〔2023〕3号）和市委办公室、市政府办公室《关于改革完善社会救助制度的实施方案》（鄂州办发〔2022〕11号）等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市民政部门采取调查研究、征求意见、集中研讨等方式开展起草工作，并于6月7日召开研讨会征求了各区的意见建议，并根据意见建议进行了修改完善。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ascii="CESI宋体-GB2312" w:hAnsi="CESI宋体-GB2312" w:eastAsia="方正黑体_GBK" w:cs="宋体"/>
          <w:b w:val="0"/>
          <w:bCs w:val="0"/>
          <w:kern w:val="0"/>
          <w:sz w:val="32"/>
          <w:szCs w:val="32"/>
        </w:rPr>
      </w:pPr>
      <w:r>
        <w:rPr>
          <w:rStyle w:val="5"/>
          <w:rFonts w:hint="eastAsia" w:ascii="CESI宋体-GB2312" w:hAnsi="CESI宋体-GB2312" w:eastAsia="方正黑体_GBK" w:cs="宋体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Style w:val="5"/>
          <w:rFonts w:ascii="CESI宋体-GB2312" w:hAnsi="CESI宋体-GB2312" w:eastAsia="方正黑体_GBK" w:cs="宋体"/>
          <w:b w:val="0"/>
          <w:bCs w:val="0"/>
          <w:kern w:val="0"/>
          <w:sz w:val="32"/>
          <w:szCs w:val="32"/>
        </w:rPr>
        <w:t>、</w:t>
      </w:r>
      <w:r>
        <w:rPr>
          <w:rStyle w:val="5"/>
          <w:rFonts w:hint="eastAsia" w:ascii="CESI宋体-GB2312" w:hAnsi="CESI宋体-GB2312" w:eastAsia="方正黑体_GBK" w:cs="宋体"/>
          <w:b w:val="0"/>
          <w:bCs w:val="0"/>
          <w:kern w:val="0"/>
          <w:sz w:val="32"/>
          <w:szCs w:val="32"/>
        </w:rPr>
        <w:t>主要</w:t>
      </w:r>
      <w:r>
        <w:rPr>
          <w:rStyle w:val="5"/>
          <w:rFonts w:ascii="CESI宋体-GB2312" w:hAnsi="CESI宋体-GB2312" w:eastAsia="方正黑体_GBK" w:cs="宋体"/>
          <w:b w:val="0"/>
          <w:bCs w:val="0"/>
          <w:kern w:val="0"/>
          <w:sz w:val="32"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《认定办法》包括总则、认定条件、申请受理、核查认定、经济评估、监管服务、附则共七章三十五条，主要有以下几方面内容：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（一）概念界定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《认定办法》明确</w:t>
      </w:r>
      <w:r>
        <w:rPr>
          <w:rFonts w:hint="eastAsia" w:ascii="仿宋" w:hAnsi="仿宋" w:eastAsia="仿宋" w:cs="仿宋"/>
          <w:sz w:val="32"/>
          <w:szCs w:val="32"/>
        </w:rPr>
        <w:t>低保边缘家庭指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持有本市户籍、共同生活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</w:t>
      </w:r>
      <w:r>
        <w:rPr>
          <w:rFonts w:hint="eastAsia" w:ascii="仿宋" w:hAnsi="仿宋" w:eastAsia="仿宋" w:cs="仿宋"/>
          <w:sz w:val="32"/>
          <w:szCs w:val="32"/>
        </w:rPr>
        <w:t>人均月收入高于我市城乡低保标准但不超过低保标准2倍（含）、且家庭财产符合相关规定的家庭。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各区人民政府民政部门负责低保边缘家庭认定监督管理工作，乡镇（街道）人民政府具体负责低保边缘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</w:t>
      </w:r>
      <w:r>
        <w:rPr>
          <w:rFonts w:hint="eastAsia" w:ascii="仿宋" w:hAnsi="仿宋" w:eastAsia="仿宋" w:cs="仿宋"/>
          <w:sz w:val="32"/>
          <w:szCs w:val="32"/>
        </w:rPr>
        <w:t>受理、审核、认定工作。村（居）民委员会协助乡镇（街道）做好低保边缘家庭认定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及日常管理服务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（三）认定程序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1.申请。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申请低保边缘家庭一般以家庭为单位，由共同生活的家庭成员向户籍地乡镇（街道）人民政府社会救助窗口提出书面申请，也可通过政务服务平台或应用程序提出申请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。低保边缘家庭申请应提交以下材料：</w:t>
      </w:r>
      <w:r>
        <w:rPr>
          <w:rFonts w:hint="eastAsia" w:eastAsia="仿宋" w:cs="仿宋"/>
          <w:b w:val="0"/>
          <w:bCs w:val="0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申请人户口簿、身份证；</w:t>
      </w:r>
      <w:r>
        <w:rPr>
          <w:rFonts w:hint="eastAsia" w:eastAsia="仿宋" w:cs="仿宋"/>
          <w:b w:val="0"/>
          <w:bCs w:val="0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申请、授权及承诺书；</w:t>
      </w:r>
      <w:r>
        <w:rPr>
          <w:rFonts w:hint="eastAsia" w:eastAsia="仿宋" w:cs="仿宋"/>
          <w:b w:val="0"/>
          <w:bCs w:val="0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如实填写家庭经济状况信息表，承诺真实诚信并签字确认。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eastAsia="仿宋" w:cs="仿宋"/>
          <w:sz w:val="32"/>
          <w:szCs w:val="32"/>
          <w:lang w:val="en-US" w:eastAsia="zh-CN"/>
        </w:rPr>
        <w:t>受理。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乡镇（街道）人民政府收到申请材料后应当及时审查，材料齐全的应予受理；不齐全的应一次性告知补齐所需材料。线下受理的申请，应当及时录入政务服务平台办理。通过告知承诺制办理低保边缘家庭认定的，应以书面形式一次性告知承诺的内容、方式及不实承诺应承担的法律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3.核查。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低保边缘家庭认定主要采取信息核对、入户调查、邻里访问、信函索证、行业评估等方式开展家庭经济状况核查，必要时可以参考家庭生活消费支出状况进行评估。具体程序比照城乡低保办理。乡镇（街道）人民政府应当根据申请人家庭核对结果和调查核实情况，提出审核意见，并在申请家庭所在村（社区）公示7天。公示无异议的，应当组织开展确认工作；公示有异议的，应当重新组织调查核实、开展民主评议，符合条件的，及时做好复核确认工作。区级民政部门应按不低于30%的比例组织抽核复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4.认定。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低保边缘家庭的认定应当自受理之日起20个工作日内完成；通过告知承诺制办理的，应在10个工作日内完成；申请急难型救助的家庭，探索开展“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个工作日制”完成。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发生公示有异议、人户分离、异地申办或家庭经济状况调查难度较大等特殊情况的，可延长至45个工作日。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对符合条件认定为低保边缘家庭的申请家庭，乡镇（街道）民政部门应及时出具低保边缘家庭认定证明书；对不符合条件不予认定的，应及时出具不予认定通知书，并说明理由和政策依据。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低保边缘家庭自认定通过之日起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年内有效，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1年后应重新申请认定。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（四）认定条件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低保边缘家庭经济状况应当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符合下列规定：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家庭人均月收入超出我市低保标准但未超过低保标准2倍；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家庭银行存款、证券、基金、债权、互联网金融资产等资产总值人均低于当地4倍年低保标准；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家庭成员名下无生活用机动车辆，或仅有1辆车且车辆价格低于当地12倍年低保标准；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家庭成员名下仅有1套住房或无房，或有2套住房且人均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居住</w:t>
      </w:r>
      <w:r>
        <w:rPr>
          <w:rFonts w:hint="eastAsia" w:ascii="仿宋" w:hAnsi="仿宋" w:eastAsia="仿宋" w:cs="仿宋"/>
          <w:sz w:val="32"/>
          <w:szCs w:val="32"/>
        </w:rPr>
        <w:t>面积不高于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统计部门公布的</w:t>
      </w:r>
      <w:r>
        <w:rPr>
          <w:rFonts w:hint="eastAsia" w:ascii="仿宋" w:hAnsi="仿宋" w:eastAsia="仿宋" w:cs="仿宋"/>
          <w:sz w:val="32"/>
          <w:szCs w:val="32"/>
        </w:rPr>
        <w:t>我省人均住房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居住</w:t>
      </w:r>
      <w:r>
        <w:rPr>
          <w:rFonts w:hint="eastAsia" w:ascii="仿宋" w:hAnsi="仿宋" w:eastAsia="仿宋" w:cs="仿宋"/>
          <w:sz w:val="32"/>
          <w:szCs w:val="32"/>
        </w:rPr>
        <w:t>面积的1.5倍，住房包括产权住房，不包括宅基地住房；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eastAsia="zh-CN"/>
        </w:rPr>
        <w:t>⑤</w:t>
      </w:r>
      <w:r>
        <w:rPr>
          <w:rFonts w:hint="eastAsia" w:ascii="仿宋" w:hAnsi="仿宋" w:eastAsia="仿宋" w:cs="仿宋"/>
          <w:sz w:val="32"/>
          <w:szCs w:val="32"/>
        </w:rPr>
        <w:t>家庭成员在各类企业中认缴出资额，累计不超过15万元。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（五）不予认定情形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申请家庭有下列情形之一，视为不符合低保边缘家庭认定条件：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共同生活的家庭成员有商铺、办公楼、厂房等非居住用途不动产的；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申请家庭自费安排家庭成员出国留学、旅游，以及收藏高价值名人字画、古董等其他明显高于一般家庭生活消费标准的；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申请前6个月内有大额资产转移或支出（价值3万或以上），且不能提供合理原因的；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家庭成员有意规避法律行为、主动放弃个人收人、财产、赡扶抚养费等相关权益造成生活困难的；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市级以上人民政府民政部门规定的其他情形。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申请家庭成员有义务接受配合调查核实工作，如实申报家庭成员信息及家庭经济状况，授权信息核对，履行诚信承诺，如无正当理由拒不配合相关工作，乡镇（街道）人民政府有权终止审核或取消低保边缘家庭认定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（六）与低保政策相衔接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依靠家庭供养的低保边缘家庭中的重度残疾人、重病患者，根据个人申请，</w:t>
      </w:r>
      <w:r>
        <w:rPr>
          <w:rFonts w:hint="eastAsia" w:eastAsia="仿宋" w:cs="仿宋"/>
          <w:b w:val="0"/>
          <w:bCs w:val="0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参照“单人户”纳入低保救助。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方正书宋_GBK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B416C"/>
    <w:rsid w:val="696B5084"/>
    <w:rsid w:val="6B7B5C4C"/>
    <w:rsid w:val="7FEF0529"/>
    <w:rsid w:val="8BBED695"/>
    <w:rsid w:val="9D97DFDA"/>
    <w:rsid w:val="BDFB416C"/>
    <w:rsid w:val="BFEFFAC9"/>
    <w:rsid w:val="FEE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2024-06-28T17:07:00Z</dcterms:created>
  <dc:creator>inspur</dc:creator>
  <cp:lastModifiedBy>inspur</cp:lastModifiedBy>
  <dcterms:modified xsi:type="dcterms:W3CDTF">2024-06-28T19:31:01Z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E04DD3152609B184387D7E664F71A4FB</vt:lpwstr>
  </property>
</Properties>
</file>